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6D8" w:rsidRPr="00A046D8" w:rsidRDefault="00A046D8" w:rsidP="00A046D8">
      <w:pPr>
        <w:pStyle w:val="Titel"/>
        <w:rPr>
          <w:rFonts w:asciiTheme="minorHAnsi" w:hAnsiTheme="minorHAnsi" w:cstheme="minorHAnsi"/>
          <w:lang w:val="en-GB"/>
        </w:rPr>
      </w:pPr>
      <w:bookmarkStart w:id="0" w:name="_GoBack"/>
      <w:bookmarkEnd w:id="0"/>
      <w:r w:rsidRPr="00A046D8">
        <w:rPr>
          <w:rFonts w:asciiTheme="minorHAnsi" w:hAnsiTheme="minorHAnsi" w:cstheme="minorHAnsi"/>
          <w:lang w:val="en-GB"/>
        </w:rPr>
        <w:t>Modification Approval / Special Release</w:t>
      </w:r>
    </w:p>
    <w:p w:rsidR="00A046D8" w:rsidRPr="00A046D8" w:rsidRDefault="00A046D8" w:rsidP="00A046D8">
      <w:pPr>
        <w:pStyle w:val="berschrift1"/>
        <w:keepNext/>
        <w:numPr>
          <w:ilvl w:val="0"/>
          <w:numId w:val="14"/>
        </w:numPr>
        <w:tabs>
          <w:tab w:val="clear" w:pos="1072"/>
          <w:tab w:val="left" w:pos="540"/>
        </w:tabs>
        <w:spacing w:before="360" w:after="240"/>
        <w:ind w:left="0" w:firstLine="0"/>
        <w:rPr>
          <w:rFonts w:cstheme="minorHAnsi"/>
          <w:sz w:val="24"/>
        </w:rPr>
      </w:pPr>
      <w:r w:rsidRPr="00A046D8">
        <w:rPr>
          <w:rFonts w:cstheme="minorHAnsi"/>
          <w:sz w:val="24"/>
        </w:rPr>
        <w:t>Purpose</w:t>
      </w:r>
    </w:p>
    <w:p w:rsidR="00A046D8" w:rsidRPr="00A046D8" w:rsidRDefault="00A046D8" w:rsidP="00A046D8">
      <w:pPr>
        <w:pStyle w:val="StandardBlock"/>
        <w:rPr>
          <w:rFonts w:asciiTheme="minorHAnsi" w:hAnsiTheme="minorHAnsi" w:cstheme="minorHAnsi"/>
          <w:lang w:val="en-GB"/>
        </w:rPr>
      </w:pPr>
      <w:r w:rsidRPr="00A046D8">
        <w:rPr>
          <w:rFonts w:asciiTheme="minorHAnsi" w:hAnsiTheme="minorHAnsi" w:cstheme="minorHAnsi"/>
          <w:lang w:val="en-GB"/>
        </w:rPr>
        <w:t>The aim of this procedure is to ensure that the supplier agrees changes to products, processes, tooling or production site (transfer), or deviations from drawings or specifications, with the customer at an early stage. This also applies to changes involving his subcontractors.</w:t>
      </w:r>
    </w:p>
    <w:p w:rsidR="00A046D8" w:rsidRPr="00A046D8" w:rsidRDefault="00A046D8" w:rsidP="00A046D8">
      <w:pPr>
        <w:pStyle w:val="berschrift1"/>
        <w:keepNext/>
        <w:numPr>
          <w:ilvl w:val="0"/>
          <w:numId w:val="14"/>
        </w:numPr>
        <w:tabs>
          <w:tab w:val="clear" w:pos="1072"/>
          <w:tab w:val="left" w:pos="540"/>
        </w:tabs>
        <w:spacing w:before="360" w:after="240"/>
        <w:ind w:left="0" w:firstLine="0"/>
        <w:rPr>
          <w:rFonts w:cstheme="minorHAnsi"/>
          <w:sz w:val="24"/>
        </w:rPr>
      </w:pPr>
      <w:r w:rsidRPr="00A046D8">
        <w:rPr>
          <w:rFonts w:cstheme="minorHAnsi"/>
          <w:sz w:val="24"/>
        </w:rPr>
        <w:t>Procedure</w:t>
      </w:r>
    </w:p>
    <w:p w:rsidR="00A046D8" w:rsidRPr="00A046D8" w:rsidRDefault="00A046D8" w:rsidP="00A046D8">
      <w:pPr>
        <w:pStyle w:val="Listenabsatz"/>
        <w:numPr>
          <w:ilvl w:val="0"/>
          <w:numId w:val="33"/>
        </w:numPr>
        <w:contextualSpacing w:val="0"/>
        <w:rPr>
          <w:rFonts w:eastAsia="Times New Roman" w:cs="Times New Roman"/>
          <w:vanish/>
          <w:szCs w:val="24"/>
          <w:lang w:val="de-DE" w:eastAsia="de-DE"/>
        </w:rPr>
      </w:pPr>
    </w:p>
    <w:p w:rsidR="00A046D8" w:rsidRPr="00A046D8" w:rsidRDefault="00A046D8" w:rsidP="00A046D8">
      <w:pPr>
        <w:pStyle w:val="Listenabsatz"/>
        <w:numPr>
          <w:ilvl w:val="0"/>
          <w:numId w:val="33"/>
        </w:numPr>
        <w:contextualSpacing w:val="0"/>
        <w:rPr>
          <w:rFonts w:eastAsia="Times New Roman" w:cs="Times New Roman"/>
          <w:vanish/>
          <w:szCs w:val="24"/>
          <w:lang w:val="de-DE" w:eastAsia="de-DE"/>
        </w:rPr>
      </w:pPr>
    </w:p>
    <w:p w:rsidR="00A046D8" w:rsidRPr="00A046D8" w:rsidRDefault="00A046D8" w:rsidP="00A046D8">
      <w:pPr>
        <w:pStyle w:val="Numbering2"/>
        <w:ind w:left="518" w:hanging="518"/>
        <w:rPr>
          <w:b/>
          <w:sz w:val="22"/>
          <w:szCs w:val="22"/>
        </w:rPr>
      </w:pPr>
      <w:proofErr w:type="spellStart"/>
      <w:r w:rsidRPr="00A046D8">
        <w:rPr>
          <w:b/>
          <w:sz w:val="22"/>
          <w:szCs w:val="22"/>
        </w:rPr>
        <w:t>Modification</w:t>
      </w:r>
      <w:proofErr w:type="spellEnd"/>
      <w:r w:rsidRPr="00A046D8">
        <w:rPr>
          <w:b/>
          <w:sz w:val="22"/>
          <w:szCs w:val="22"/>
        </w:rPr>
        <w:t xml:space="preserve"> </w:t>
      </w:r>
      <w:proofErr w:type="spellStart"/>
      <w:r w:rsidRPr="00A046D8">
        <w:rPr>
          <w:b/>
          <w:sz w:val="22"/>
          <w:szCs w:val="22"/>
        </w:rPr>
        <w:t>approval</w:t>
      </w:r>
      <w:proofErr w:type="spellEnd"/>
    </w:p>
    <w:p w:rsidR="00A046D8" w:rsidRPr="00A046D8" w:rsidRDefault="00A046D8" w:rsidP="00A046D8">
      <w:pPr>
        <w:pStyle w:val="StandardBlock"/>
        <w:rPr>
          <w:rFonts w:asciiTheme="minorHAnsi" w:hAnsiTheme="minorHAnsi" w:cstheme="minorHAnsi"/>
          <w:lang w:val="en-GB"/>
        </w:rPr>
      </w:pPr>
      <w:r w:rsidRPr="00A046D8">
        <w:rPr>
          <w:rFonts w:asciiTheme="minorHAnsi" w:hAnsiTheme="minorHAnsi" w:cstheme="minorHAnsi"/>
          <w:lang w:val="en-GB"/>
        </w:rPr>
        <w:t xml:space="preserve">Once initial samples have been released, changes to products, processes, materials, tooling or production sites (footprint or site transfer) are only permissible once formal approval has been obtained from the customer. This also applies to subcontractors. </w:t>
      </w:r>
    </w:p>
    <w:p w:rsidR="00A046D8" w:rsidRPr="00A046D8" w:rsidRDefault="00A046D8" w:rsidP="00A046D8">
      <w:pPr>
        <w:pStyle w:val="StandardBlock"/>
        <w:rPr>
          <w:rFonts w:asciiTheme="minorHAnsi" w:hAnsiTheme="minorHAnsi" w:cstheme="minorHAnsi"/>
          <w:lang w:val="en-GB"/>
        </w:rPr>
      </w:pPr>
      <w:r w:rsidRPr="00A046D8">
        <w:rPr>
          <w:rFonts w:asciiTheme="minorHAnsi" w:hAnsiTheme="minorHAnsi" w:cstheme="minorHAnsi"/>
          <w:lang w:val="en-GB"/>
        </w:rPr>
        <w:t>To this end, the supplier is responsible for informing the customer contact indicated on the order of any intended changes in good time, using the corresponding application form (</w:t>
      </w:r>
      <w:bookmarkStart w:id="1" w:name="OLE_LINK7"/>
      <w:bookmarkStart w:id="2" w:name="OLE_LINK8"/>
      <w:r w:rsidRPr="00A046D8">
        <w:rPr>
          <w:rFonts w:asciiTheme="minorHAnsi" w:hAnsiTheme="minorHAnsi" w:cstheme="minorHAnsi"/>
          <w:lang w:val="en-GB"/>
        </w:rPr>
        <w:t xml:space="preserve">see </w:t>
      </w:r>
      <w:r w:rsidRPr="00A046D8">
        <w:rPr>
          <w:rFonts w:asciiTheme="minorHAnsi" w:hAnsiTheme="minorHAnsi" w:cstheme="minorHAnsi"/>
          <w:i/>
          <w:lang w:val="en-GB"/>
        </w:rPr>
        <w:t xml:space="preserve">QAA / </w:t>
      </w:r>
      <w:r w:rsidRPr="00A046D8">
        <w:rPr>
          <w:rFonts w:asciiTheme="minorHAnsi" w:hAnsiTheme="minorHAnsi" w:cstheme="minorHAnsi"/>
          <w:i/>
          <w:lang w:val="en-GB"/>
        </w:rPr>
        <w:br/>
        <w:t>S 296001 Part 3 - Modification Approval / Special Release, Appendix 1</w:t>
      </w:r>
      <w:bookmarkEnd w:id="1"/>
      <w:bookmarkEnd w:id="2"/>
      <w:r w:rsidRPr="00A046D8">
        <w:rPr>
          <w:rFonts w:asciiTheme="minorHAnsi" w:hAnsiTheme="minorHAnsi" w:cstheme="minorHAnsi"/>
          <w:lang w:val="en-GB"/>
        </w:rPr>
        <w:t xml:space="preserve">). </w:t>
      </w:r>
    </w:p>
    <w:p w:rsidR="00A046D8" w:rsidRPr="00A046D8" w:rsidRDefault="00A046D8" w:rsidP="00A046D8">
      <w:pPr>
        <w:pStyle w:val="StandardBlock"/>
        <w:rPr>
          <w:rFonts w:asciiTheme="minorHAnsi" w:hAnsiTheme="minorHAnsi" w:cstheme="minorHAnsi"/>
          <w:lang w:val="en-GB"/>
        </w:rPr>
      </w:pPr>
      <w:r w:rsidRPr="00A046D8">
        <w:rPr>
          <w:rFonts w:asciiTheme="minorHAnsi" w:hAnsiTheme="minorHAnsi" w:cstheme="minorHAnsi"/>
          <w:lang w:val="en-GB"/>
        </w:rPr>
        <w:t xml:space="preserve">The supplier must also define suitable measures, stating the persons responsible and the relevant deadlines, and include this information with the application. The supplier may only introduce the changes once the relevant technical department at the customer's premises has reviewed the effects of the changes and issued an approval. </w:t>
      </w:r>
    </w:p>
    <w:p w:rsidR="00A046D8" w:rsidRDefault="00A046D8" w:rsidP="00A046D8">
      <w:pPr>
        <w:pStyle w:val="StandardBlock"/>
        <w:rPr>
          <w:rFonts w:asciiTheme="minorHAnsi" w:hAnsiTheme="minorHAnsi" w:cstheme="minorHAnsi"/>
          <w:lang w:val="en-GB"/>
        </w:rPr>
      </w:pPr>
      <w:r w:rsidRPr="00A046D8">
        <w:rPr>
          <w:rFonts w:asciiTheme="minorHAnsi" w:hAnsiTheme="minorHAnsi" w:cstheme="minorHAnsi"/>
          <w:lang w:val="en-GB"/>
        </w:rPr>
        <w:t xml:space="preserve">The supplier must receive notification of the customer’s approval in written or electronic form. Initial mass production sampling to </w:t>
      </w:r>
      <w:r w:rsidRPr="00A046D8">
        <w:rPr>
          <w:rFonts w:asciiTheme="minorHAnsi" w:hAnsiTheme="minorHAnsi" w:cstheme="minorHAnsi"/>
          <w:i/>
          <w:lang w:val="en-GB"/>
        </w:rPr>
        <w:t>QAA / S 296001 Part 2 - Production Process and Product Release Procedure</w:t>
      </w:r>
      <w:r w:rsidRPr="00A046D8">
        <w:rPr>
          <w:rFonts w:asciiTheme="minorHAnsi" w:hAnsiTheme="minorHAnsi" w:cstheme="minorHAnsi"/>
          <w:lang w:val="en-GB"/>
        </w:rPr>
        <w:t xml:space="preserve"> is required upon introducing the change. </w:t>
      </w:r>
    </w:p>
    <w:p w:rsidR="00A046D8" w:rsidRPr="00A046D8" w:rsidRDefault="00A046D8" w:rsidP="00A046D8">
      <w:pPr>
        <w:pStyle w:val="StandardBlock"/>
        <w:rPr>
          <w:rFonts w:asciiTheme="minorHAnsi" w:hAnsiTheme="minorHAnsi" w:cstheme="minorHAnsi"/>
          <w:lang w:val="en-GB"/>
        </w:rPr>
      </w:pPr>
    </w:p>
    <w:p w:rsidR="00A046D8" w:rsidRPr="00A046D8" w:rsidRDefault="00A046D8" w:rsidP="00A046D8">
      <w:pPr>
        <w:pStyle w:val="Numbering2"/>
        <w:ind w:left="518" w:hanging="518"/>
        <w:rPr>
          <w:b/>
          <w:sz w:val="22"/>
          <w:szCs w:val="22"/>
        </w:rPr>
      </w:pPr>
      <w:r w:rsidRPr="00A046D8">
        <w:rPr>
          <w:b/>
          <w:sz w:val="22"/>
          <w:szCs w:val="22"/>
        </w:rPr>
        <w:t>Production site transfer</w:t>
      </w:r>
    </w:p>
    <w:p w:rsidR="00A046D8" w:rsidRPr="00A046D8" w:rsidRDefault="00A046D8" w:rsidP="00A046D8">
      <w:pPr>
        <w:pStyle w:val="StandardBlock"/>
        <w:rPr>
          <w:rFonts w:asciiTheme="minorHAnsi" w:hAnsiTheme="minorHAnsi" w:cstheme="minorHAnsi"/>
          <w:color w:val="008000"/>
          <w:lang w:val="en-US"/>
        </w:rPr>
      </w:pPr>
      <w:r w:rsidRPr="00A046D8">
        <w:rPr>
          <w:rFonts w:asciiTheme="minorHAnsi" w:hAnsiTheme="minorHAnsi" w:cstheme="minorHAnsi"/>
          <w:color w:val="008000"/>
          <w:lang w:val="en-US"/>
        </w:rPr>
        <w:t xml:space="preserve">The supplier must notify the customer’s relevant Lead Buyer of a planned site transfer well in advance by submitting the </w:t>
      </w:r>
      <w:r w:rsidRPr="00A046D8">
        <w:rPr>
          <w:rFonts w:asciiTheme="minorHAnsi" w:hAnsiTheme="minorHAnsi" w:cstheme="minorHAnsi"/>
          <w:i/>
          <w:color w:val="008000"/>
          <w:lang w:val="en-US"/>
        </w:rPr>
        <w:t>Application for Modification Approval / Special Release (Appendix 1)</w:t>
      </w:r>
      <w:r w:rsidRPr="00A046D8">
        <w:rPr>
          <w:rFonts w:asciiTheme="minorHAnsi" w:hAnsiTheme="minorHAnsi" w:cstheme="minorHAnsi"/>
          <w:color w:val="008000"/>
          <w:lang w:val="en-US"/>
        </w:rPr>
        <w:t xml:space="preserve">, as well as the </w:t>
      </w:r>
      <w:r w:rsidRPr="00A046D8">
        <w:rPr>
          <w:rFonts w:asciiTheme="minorHAnsi" w:hAnsiTheme="minorHAnsi" w:cstheme="minorHAnsi"/>
          <w:i/>
          <w:color w:val="008000"/>
          <w:lang w:val="en-US"/>
        </w:rPr>
        <w:t>Checklist for Production Transfer</w:t>
      </w:r>
      <w:r w:rsidRPr="00A046D8">
        <w:rPr>
          <w:rFonts w:asciiTheme="minorHAnsi" w:hAnsiTheme="minorHAnsi" w:cstheme="minorHAnsi"/>
          <w:color w:val="008000"/>
          <w:lang w:val="en-US"/>
        </w:rPr>
        <w:t xml:space="preserve">, </w:t>
      </w:r>
      <w:r w:rsidRPr="00A046D8">
        <w:rPr>
          <w:rFonts w:asciiTheme="minorHAnsi" w:hAnsiTheme="minorHAnsi" w:cstheme="minorHAnsi"/>
          <w:i/>
          <w:color w:val="008000"/>
          <w:lang w:val="en-US"/>
        </w:rPr>
        <w:t xml:space="preserve">Phase 1 - Transfer Planning </w:t>
      </w:r>
      <w:r w:rsidRPr="00A046D8">
        <w:rPr>
          <w:rFonts w:asciiTheme="minorHAnsi" w:hAnsiTheme="minorHAnsi" w:cstheme="minorHAnsi"/>
          <w:color w:val="008000"/>
          <w:lang w:val="en-US"/>
        </w:rPr>
        <w:t xml:space="preserve">(see </w:t>
      </w:r>
      <w:r w:rsidRPr="00A046D8">
        <w:rPr>
          <w:rFonts w:asciiTheme="minorHAnsi" w:hAnsiTheme="minorHAnsi" w:cstheme="minorHAnsi"/>
          <w:i/>
          <w:color w:val="008000"/>
          <w:lang w:val="en-US"/>
        </w:rPr>
        <w:t xml:space="preserve">QAA / </w:t>
      </w:r>
      <w:r w:rsidRPr="00A046D8">
        <w:rPr>
          <w:rFonts w:asciiTheme="minorHAnsi" w:hAnsiTheme="minorHAnsi" w:cstheme="minorHAnsi"/>
          <w:i/>
          <w:color w:val="008000"/>
          <w:lang w:val="en-US"/>
        </w:rPr>
        <w:br/>
        <w:t>S 296001 Part 3 - Modification Approval / Special Release, Appendix 2</w:t>
      </w:r>
      <w:r w:rsidRPr="00A046D8">
        <w:rPr>
          <w:rFonts w:asciiTheme="minorHAnsi" w:hAnsiTheme="minorHAnsi" w:cstheme="minorHAnsi"/>
          <w:color w:val="008000"/>
          <w:lang w:val="en-US"/>
        </w:rPr>
        <w:t xml:space="preserve">) as an introduction to his transfer plan.  </w:t>
      </w:r>
    </w:p>
    <w:p w:rsidR="00A046D8" w:rsidRDefault="00A046D8" w:rsidP="00A046D8">
      <w:pPr>
        <w:pStyle w:val="StandardBlock"/>
        <w:rPr>
          <w:rFonts w:asciiTheme="minorHAnsi" w:hAnsiTheme="minorHAnsi" w:cstheme="minorHAnsi"/>
          <w:color w:val="008000"/>
          <w:lang w:val="en-US"/>
        </w:rPr>
      </w:pPr>
      <w:r w:rsidRPr="00A046D8">
        <w:rPr>
          <w:rFonts w:asciiTheme="minorHAnsi" w:hAnsiTheme="minorHAnsi" w:cstheme="minorHAnsi"/>
          <w:color w:val="008000"/>
          <w:lang w:val="en-US"/>
        </w:rPr>
        <w:t xml:space="preserve">Once the customer has checked the application and the </w:t>
      </w:r>
      <w:r w:rsidRPr="00A046D8">
        <w:rPr>
          <w:rFonts w:asciiTheme="minorHAnsi" w:hAnsiTheme="minorHAnsi" w:cstheme="minorHAnsi"/>
          <w:i/>
          <w:iCs/>
          <w:color w:val="008000"/>
          <w:lang w:val="en-US"/>
        </w:rPr>
        <w:t>Checklist</w:t>
      </w:r>
      <w:r w:rsidRPr="00A046D8">
        <w:rPr>
          <w:rFonts w:asciiTheme="minorHAnsi" w:hAnsiTheme="minorHAnsi" w:cstheme="minorHAnsi"/>
          <w:color w:val="008000"/>
          <w:lang w:val="en-US"/>
        </w:rPr>
        <w:t xml:space="preserve">, the supplier is notified of the decision and, </w:t>
      </w:r>
      <w:proofErr w:type="gramStart"/>
      <w:r w:rsidRPr="00A046D8">
        <w:rPr>
          <w:rFonts w:asciiTheme="minorHAnsi" w:hAnsiTheme="minorHAnsi" w:cstheme="minorHAnsi"/>
          <w:color w:val="008000"/>
          <w:lang w:val="en-US"/>
        </w:rPr>
        <w:t>in the event that</w:t>
      </w:r>
      <w:proofErr w:type="gramEnd"/>
      <w:r w:rsidRPr="00A046D8">
        <w:rPr>
          <w:rFonts w:asciiTheme="minorHAnsi" w:hAnsiTheme="minorHAnsi" w:cstheme="minorHAnsi"/>
          <w:color w:val="008000"/>
          <w:lang w:val="en-US"/>
        </w:rPr>
        <w:t xml:space="preserve"> modification approval is granted, of a subsequent course of action. </w:t>
      </w:r>
    </w:p>
    <w:p w:rsidR="00A046D8" w:rsidRPr="00A046D8" w:rsidRDefault="00A046D8" w:rsidP="00A046D8">
      <w:pPr>
        <w:pStyle w:val="StandardBlock"/>
        <w:rPr>
          <w:rFonts w:asciiTheme="minorHAnsi" w:hAnsiTheme="minorHAnsi" w:cstheme="minorHAnsi"/>
          <w:color w:val="008000"/>
          <w:lang w:val="en-US"/>
        </w:rPr>
      </w:pPr>
    </w:p>
    <w:p w:rsidR="00A046D8" w:rsidRPr="00A046D8" w:rsidRDefault="00A046D8" w:rsidP="00A046D8">
      <w:pPr>
        <w:pStyle w:val="Numbering2"/>
        <w:ind w:left="518" w:hanging="518"/>
        <w:rPr>
          <w:b/>
          <w:sz w:val="22"/>
          <w:szCs w:val="22"/>
        </w:rPr>
      </w:pPr>
      <w:r w:rsidRPr="00A046D8">
        <w:rPr>
          <w:b/>
          <w:sz w:val="22"/>
          <w:szCs w:val="22"/>
        </w:rPr>
        <w:t>Special release</w:t>
      </w:r>
    </w:p>
    <w:p w:rsidR="00A046D8" w:rsidRPr="00A046D8" w:rsidRDefault="00A046D8" w:rsidP="00A046D8">
      <w:pPr>
        <w:pStyle w:val="StandardBlock"/>
        <w:rPr>
          <w:rFonts w:asciiTheme="minorHAnsi" w:hAnsiTheme="minorHAnsi" w:cstheme="minorHAnsi"/>
          <w:lang w:val="en-GB"/>
        </w:rPr>
      </w:pPr>
      <w:r w:rsidRPr="00A046D8">
        <w:rPr>
          <w:rFonts w:asciiTheme="minorHAnsi" w:hAnsiTheme="minorHAnsi" w:cstheme="minorHAnsi"/>
          <w:lang w:val="en-GB"/>
        </w:rPr>
        <w:t xml:space="preserve">In the event of a deviation from a drawing or specification, a special release must be obtained via the customer contact stated in the order before delivering the product to the customer. </w:t>
      </w:r>
    </w:p>
    <w:p w:rsidR="00A046D8" w:rsidRPr="00A046D8" w:rsidRDefault="00A046D8" w:rsidP="00A046D8">
      <w:pPr>
        <w:pStyle w:val="StandardBlock"/>
        <w:rPr>
          <w:rFonts w:asciiTheme="minorHAnsi" w:hAnsiTheme="minorHAnsi" w:cstheme="minorHAnsi"/>
          <w:lang w:val="en-GB"/>
        </w:rPr>
      </w:pPr>
      <w:r w:rsidRPr="00A046D8">
        <w:rPr>
          <w:rFonts w:asciiTheme="minorHAnsi" w:hAnsiTheme="minorHAnsi" w:cstheme="minorHAnsi"/>
          <w:lang w:val="en-GB"/>
        </w:rPr>
        <w:t xml:space="preserve">This also applies if there is to be a short-term deviation from the approved mass production process, e.g. use of a different process or a different machine. In order to correct the deviation(s), the supplier must define suitable measures, stating the persons responsible and the relevant deadlines, in the form of an 8D Report (see </w:t>
      </w:r>
      <w:r w:rsidRPr="00A046D8">
        <w:rPr>
          <w:rFonts w:asciiTheme="minorHAnsi" w:hAnsiTheme="minorHAnsi" w:cstheme="minorHAnsi"/>
          <w:i/>
          <w:lang w:val="en-GB"/>
        </w:rPr>
        <w:t>QAA / S 296001 Part 4 - Complaint Processing</w:t>
      </w:r>
      <w:r w:rsidRPr="00A046D8">
        <w:rPr>
          <w:rFonts w:asciiTheme="minorHAnsi" w:hAnsiTheme="minorHAnsi" w:cstheme="minorHAnsi"/>
          <w:lang w:val="en-GB"/>
        </w:rPr>
        <w:t xml:space="preserve">). The 8D Report must be included with the </w:t>
      </w:r>
      <w:r w:rsidRPr="00A046D8">
        <w:rPr>
          <w:rFonts w:asciiTheme="minorHAnsi" w:hAnsiTheme="minorHAnsi" w:cstheme="minorHAnsi"/>
          <w:i/>
          <w:lang w:val="en-GB"/>
        </w:rPr>
        <w:t>Application for Modification Approval / Special Release (Appendix 1)</w:t>
      </w:r>
      <w:r w:rsidRPr="00A046D8">
        <w:rPr>
          <w:rFonts w:asciiTheme="minorHAnsi" w:hAnsiTheme="minorHAnsi" w:cstheme="minorHAnsi"/>
          <w:lang w:val="en-GB"/>
        </w:rPr>
        <w:t>.</w:t>
      </w:r>
    </w:p>
    <w:p w:rsidR="00A046D8" w:rsidRPr="00A046D8" w:rsidRDefault="00A046D8" w:rsidP="00A046D8">
      <w:pPr>
        <w:pStyle w:val="StandardBlock"/>
        <w:rPr>
          <w:rFonts w:asciiTheme="minorHAnsi" w:hAnsiTheme="minorHAnsi" w:cstheme="minorHAnsi"/>
          <w:lang w:val="en-GB"/>
        </w:rPr>
      </w:pPr>
      <w:r w:rsidRPr="00A046D8">
        <w:rPr>
          <w:rFonts w:asciiTheme="minorHAnsi" w:hAnsiTheme="minorHAnsi" w:cstheme="minorHAnsi"/>
          <w:lang w:val="en-GB"/>
        </w:rPr>
        <w:t xml:space="preserve">Depending on the circumstances, a special release is either restricted to a defined delivery period or a defined delivery quantity / batch size. This is specified by the customer in the </w:t>
      </w:r>
      <w:r w:rsidRPr="00A046D8">
        <w:rPr>
          <w:rFonts w:asciiTheme="minorHAnsi" w:hAnsiTheme="minorHAnsi" w:cstheme="minorHAnsi"/>
          <w:i/>
          <w:lang w:val="en-GB"/>
        </w:rPr>
        <w:t>application</w:t>
      </w:r>
      <w:r w:rsidRPr="00A046D8">
        <w:rPr>
          <w:rFonts w:asciiTheme="minorHAnsi" w:hAnsiTheme="minorHAnsi" w:cstheme="minorHAnsi"/>
          <w:lang w:val="en-GB"/>
        </w:rPr>
        <w:t xml:space="preserve">. </w:t>
      </w:r>
    </w:p>
    <w:p w:rsidR="00A046D8" w:rsidRDefault="00A046D8" w:rsidP="00A046D8">
      <w:pPr>
        <w:pStyle w:val="StandardBlock"/>
        <w:rPr>
          <w:rFonts w:asciiTheme="minorHAnsi" w:hAnsiTheme="minorHAnsi" w:cstheme="minorHAnsi"/>
          <w:lang w:val="en-GB"/>
        </w:rPr>
      </w:pPr>
      <w:r w:rsidRPr="00A046D8">
        <w:rPr>
          <w:rFonts w:asciiTheme="minorHAnsi" w:hAnsiTheme="minorHAnsi" w:cstheme="minorHAnsi"/>
          <w:lang w:val="en-GB"/>
        </w:rPr>
        <w:t xml:space="preserve">The supplier must receive notification of the customer’s release in written or electronic form before delivering the relevant products. The affected products must be kept separate from parts which conform to the relevant specifications and marked accordingly. A copy of the customer’s special release must be included with the delivery papers </w:t>
      </w:r>
      <w:proofErr w:type="gramStart"/>
      <w:r w:rsidRPr="00A046D8">
        <w:rPr>
          <w:rFonts w:asciiTheme="minorHAnsi" w:hAnsiTheme="minorHAnsi" w:cstheme="minorHAnsi"/>
          <w:lang w:val="en-GB"/>
        </w:rPr>
        <w:t>and also</w:t>
      </w:r>
      <w:proofErr w:type="gramEnd"/>
      <w:r w:rsidRPr="00A046D8">
        <w:rPr>
          <w:rFonts w:asciiTheme="minorHAnsi" w:hAnsiTheme="minorHAnsi" w:cstheme="minorHAnsi"/>
          <w:lang w:val="en-GB"/>
        </w:rPr>
        <w:t xml:space="preserve"> applied to the packaging units, ensuring that it is clearly visible. </w:t>
      </w:r>
      <w:r>
        <w:rPr>
          <w:rFonts w:asciiTheme="minorHAnsi" w:hAnsiTheme="minorHAnsi" w:cstheme="minorHAnsi"/>
          <w:lang w:val="en-GB"/>
        </w:rPr>
        <w:br w:type="page"/>
      </w:r>
    </w:p>
    <w:p w:rsidR="00A046D8" w:rsidRPr="00A046D8" w:rsidRDefault="00A046D8" w:rsidP="00A046D8">
      <w:pPr>
        <w:pStyle w:val="berschrift1"/>
        <w:keepNext/>
        <w:numPr>
          <w:ilvl w:val="0"/>
          <w:numId w:val="14"/>
        </w:numPr>
        <w:tabs>
          <w:tab w:val="clear" w:pos="1072"/>
          <w:tab w:val="left" w:pos="540"/>
        </w:tabs>
        <w:spacing w:before="360" w:after="240"/>
        <w:ind w:left="0" w:firstLine="0"/>
        <w:rPr>
          <w:rFonts w:cstheme="minorHAnsi"/>
          <w:sz w:val="24"/>
        </w:rPr>
      </w:pPr>
      <w:r w:rsidRPr="00A046D8">
        <w:rPr>
          <w:rFonts w:cstheme="minorHAnsi"/>
          <w:sz w:val="24"/>
        </w:rPr>
        <w:lastRenderedPageBreak/>
        <w:t>Applicable documents</w:t>
      </w:r>
    </w:p>
    <w:p w:rsidR="00A046D8" w:rsidRPr="00A046D8" w:rsidRDefault="00A046D8" w:rsidP="00A046D8">
      <w:pPr>
        <w:tabs>
          <w:tab w:val="left" w:pos="2880"/>
        </w:tabs>
        <w:jc w:val="both"/>
        <w:rPr>
          <w:rFonts w:cstheme="minorHAnsi"/>
          <w:b/>
          <w:sz w:val="22"/>
        </w:rPr>
      </w:pPr>
      <w:r w:rsidRPr="00A046D8">
        <w:rPr>
          <w:rFonts w:cstheme="minorHAnsi"/>
          <w:b/>
          <w:sz w:val="22"/>
        </w:rPr>
        <w:t>Applicable appendices to S 296001</w:t>
      </w:r>
      <w:r w:rsidRPr="00A046D8">
        <w:rPr>
          <w:rFonts w:cstheme="minorHAnsi"/>
          <w:sz w:val="22"/>
        </w:rPr>
        <w:t xml:space="preserve"> </w:t>
      </w:r>
      <w:r w:rsidRPr="00A046D8">
        <w:rPr>
          <w:rFonts w:cstheme="minorHAnsi"/>
          <w:b/>
          <w:sz w:val="22"/>
        </w:rPr>
        <w:t xml:space="preserve">Part 3 </w:t>
      </w:r>
    </w:p>
    <w:p w:rsidR="00A046D8" w:rsidRPr="00A046D8" w:rsidRDefault="00A046D8" w:rsidP="00A046D8">
      <w:pPr>
        <w:tabs>
          <w:tab w:val="left" w:pos="2880"/>
        </w:tabs>
        <w:jc w:val="both"/>
        <w:rPr>
          <w:rFonts w:cstheme="minorHAnsi"/>
          <w:sz w:val="22"/>
        </w:rPr>
      </w:pPr>
      <w:r w:rsidRPr="00A046D8">
        <w:rPr>
          <w:rFonts w:cstheme="minorHAnsi"/>
          <w:sz w:val="22"/>
        </w:rPr>
        <w:t xml:space="preserve">(see </w:t>
      </w:r>
      <w:r w:rsidRPr="00A046D8">
        <w:rPr>
          <w:rFonts w:cstheme="minorHAnsi"/>
          <w:i/>
          <w:sz w:val="22"/>
        </w:rPr>
        <w:t>www.Schaeffler.com</w:t>
      </w:r>
      <w:r w:rsidRPr="00A046D8">
        <w:rPr>
          <w:rFonts w:cstheme="minorHAnsi"/>
          <w:sz w:val="22"/>
        </w:rPr>
        <w:t xml:space="preserve"> / </w:t>
      </w:r>
      <w:r w:rsidRPr="00A046D8">
        <w:rPr>
          <w:rFonts w:cstheme="minorHAnsi"/>
          <w:i/>
          <w:sz w:val="22"/>
        </w:rPr>
        <w:t>Suppliers</w:t>
      </w:r>
      <w:r w:rsidRPr="00A046D8">
        <w:rPr>
          <w:rFonts w:cstheme="minorHAnsi"/>
          <w:sz w:val="22"/>
        </w:rPr>
        <w:t xml:space="preserve"> / </w:t>
      </w:r>
      <w:r w:rsidRPr="00A046D8">
        <w:rPr>
          <w:rFonts w:cstheme="minorHAnsi"/>
          <w:i/>
          <w:sz w:val="22"/>
        </w:rPr>
        <w:t>Quality</w:t>
      </w:r>
      <w:r w:rsidRPr="00A046D8">
        <w:rPr>
          <w:rFonts w:cstheme="minorHAnsi"/>
          <w:sz w:val="22"/>
        </w:rPr>
        <w:t xml:space="preserve"> / </w:t>
      </w:r>
      <w:r w:rsidRPr="00A046D8">
        <w:rPr>
          <w:rFonts w:cstheme="minorHAnsi"/>
          <w:i/>
          <w:sz w:val="22"/>
        </w:rPr>
        <w:t>Production Material</w:t>
      </w:r>
      <w:r w:rsidRPr="00A046D8">
        <w:rPr>
          <w:rFonts w:cstheme="minorHAnsi"/>
          <w:sz w:val="22"/>
        </w:rPr>
        <w:t>)</w:t>
      </w:r>
    </w:p>
    <w:p w:rsidR="00A046D8" w:rsidRPr="00A046D8" w:rsidRDefault="00A046D8" w:rsidP="00A046D8">
      <w:pPr>
        <w:tabs>
          <w:tab w:val="left" w:pos="2340"/>
        </w:tabs>
        <w:spacing w:before="60"/>
        <w:rPr>
          <w:rFonts w:cstheme="minorHAnsi"/>
          <w:i/>
          <w:sz w:val="22"/>
        </w:rPr>
      </w:pPr>
      <w:r w:rsidRPr="00A046D8">
        <w:rPr>
          <w:rFonts w:cstheme="minorHAnsi"/>
          <w:i/>
          <w:sz w:val="22"/>
        </w:rPr>
        <w:t>Appendix 1</w:t>
      </w:r>
      <w:r w:rsidRPr="00A046D8">
        <w:rPr>
          <w:rFonts w:cstheme="minorHAnsi"/>
          <w:i/>
          <w:sz w:val="22"/>
        </w:rPr>
        <w:tab/>
        <w:t>Application for Modification Approval / Special Release</w:t>
      </w:r>
    </w:p>
    <w:p w:rsidR="00A046D8" w:rsidRPr="00A046D8" w:rsidRDefault="00A046D8" w:rsidP="00A046D8">
      <w:pPr>
        <w:tabs>
          <w:tab w:val="left" w:pos="2340"/>
        </w:tabs>
        <w:spacing w:before="60"/>
        <w:rPr>
          <w:rFonts w:cstheme="minorHAnsi"/>
          <w:i/>
          <w:color w:val="008000"/>
          <w:sz w:val="22"/>
        </w:rPr>
      </w:pPr>
      <w:r w:rsidRPr="00A046D8">
        <w:rPr>
          <w:rFonts w:cstheme="minorHAnsi"/>
          <w:i/>
          <w:color w:val="008000"/>
          <w:sz w:val="22"/>
        </w:rPr>
        <w:t>Appendix 2</w:t>
      </w:r>
      <w:r w:rsidRPr="00A046D8">
        <w:rPr>
          <w:rFonts w:cstheme="minorHAnsi"/>
          <w:i/>
          <w:color w:val="008000"/>
          <w:sz w:val="22"/>
        </w:rPr>
        <w:tab/>
        <w:t>Checklist for Production Transfers</w:t>
      </w:r>
    </w:p>
    <w:p w:rsidR="0061528E" w:rsidRPr="00A046D8" w:rsidRDefault="0061528E" w:rsidP="00A046D8">
      <w:pPr>
        <w:rPr>
          <w:rFonts w:cstheme="minorHAnsi"/>
          <w:sz w:val="22"/>
        </w:rPr>
      </w:pPr>
    </w:p>
    <w:sectPr w:rsidR="0061528E" w:rsidRPr="00A046D8"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26DE" w:rsidRDefault="00D426DE" w:rsidP="00D661C2">
      <w:pPr>
        <w:spacing w:after="120"/>
      </w:pPr>
      <w:r>
        <w:separator/>
      </w:r>
    </w:p>
    <w:p w:rsidR="00D426DE" w:rsidRDefault="00D426DE" w:rsidP="00D661C2">
      <w:pPr>
        <w:spacing w:after="120"/>
      </w:pPr>
    </w:p>
  </w:endnote>
  <w:endnote w:type="continuationSeparator" w:id="0">
    <w:p w:rsidR="00D426DE" w:rsidRDefault="00D426DE" w:rsidP="00D661C2">
      <w:pPr>
        <w:spacing w:after="120"/>
      </w:pPr>
      <w:r>
        <w:continuationSeparator/>
      </w:r>
    </w:p>
    <w:p w:rsidR="00D426DE" w:rsidRDefault="00D426DE" w:rsidP="00D661C2">
      <w:pPr>
        <w:spacing w:after="120"/>
      </w:pPr>
    </w:p>
    <w:p w:rsidR="00D426DE" w:rsidRDefault="00D426DE" w:rsidP="00D661C2">
      <w:pPr>
        <w:spacing w:after="120"/>
      </w:pPr>
      <w:proofErr w:type="spellStart"/>
      <w:r>
        <w:t>Seite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6D8" w:rsidRDefault="00A046D8" w:rsidP="00A046D8">
    <w:pPr>
      <w:pStyle w:val="Fuzeile"/>
      <w:spacing w:after="120"/>
      <w:rPr>
        <w:sz w:val="19"/>
        <w:szCs w:val="19"/>
        <w:lang w:val="en-US"/>
      </w:rPr>
    </w:pPr>
    <w:r w:rsidRPr="00A046D8">
      <w:rPr>
        <w:sz w:val="19"/>
        <w:szCs w:val="19"/>
        <w:lang w:val="en-US"/>
      </w:rPr>
      <w:t>Quality Assurance Agreement with Production Material Suppliers</w:t>
    </w:r>
    <w:r>
      <w:rPr>
        <w:sz w:val="19"/>
        <w:szCs w:val="19"/>
        <w:lang w:val="en-US"/>
      </w:rPr>
      <w:tab/>
    </w:r>
    <w:r w:rsidRPr="00A046D8">
      <w:rPr>
        <w:sz w:val="19"/>
        <w:szCs w:val="19"/>
        <w:lang w:val="en-US"/>
      </w:rPr>
      <w:t>Revision: July 2010</w:t>
    </w:r>
  </w:p>
  <w:p w:rsidR="00D661C2" w:rsidRPr="00A046D8" w:rsidRDefault="00A046D8">
    <w:pPr>
      <w:pStyle w:val="Fuzeile"/>
      <w:spacing w:after="120"/>
      <w:rPr>
        <w:sz w:val="19"/>
        <w:szCs w:val="19"/>
        <w:lang w:val="en-US"/>
      </w:rPr>
    </w:pPr>
    <w:r w:rsidRPr="00A046D8">
      <w:rPr>
        <w:sz w:val="19"/>
        <w:szCs w:val="19"/>
        <w:lang w:val="en-US"/>
      </w:rPr>
      <w:t>S 296001 Part 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6D8" w:rsidRDefault="00A046D8" w:rsidP="00A046D8">
    <w:pPr>
      <w:pStyle w:val="Fuzeile"/>
      <w:spacing w:after="120"/>
      <w:rPr>
        <w:sz w:val="19"/>
        <w:szCs w:val="19"/>
        <w:lang w:val="en-US"/>
      </w:rPr>
    </w:pPr>
    <w:r w:rsidRPr="00A046D8">
      <w:rPr>
        <w:sz w:val="19"/>
        <w:szCs w:val="19"/>
        <w:lang w:val="en-US"/>
      </w:rPr>
      <w:t>Quality Assurance Agreement with Production Material Suppliers</w:t>
    </w:r>
    <w:r>
      <w:rPr>
        <w:sz w:val="19"/>
        <w:szCs w:val="19"/>
        <w:lang w:val="en-US"/>
      </w:rPr>
      <w:tab/>
    </w:r>
    <w:r w:rsidRPr="00A046D8">
      <w:rPr>
        <w:sz w:val="19"/>
        <w:szCs w:val="19"/>
        <w:lang w:val="en-US"/>
      </w:rPr>
      <w:t>Revision: July 2010</w:t>
    </w:r>
  </w:p>
  <w:p w:rsidR="00160AC5" w:rsidRPr="00A046D8" w:rsidRDefault="00A046D8" w:rsidP="00A046D8">
    <w:pPr>
      <w:pStyle w:val="Fuzeile"/>
      <w:spacing w:after="120"/>
      <w:rPr>
        <w:sz w:val="19"/>
        <w:szCs w:val="19"/>
        <w:lang w:val="en-US"/>
      </w:rPr>
    </w:pPr>
    <w:r w:rsidRPr="00A046D8">
      <w:rPr>
        <w:sz w:val="19"/>
        <w:szCs w:val="19"/>
        <w:lang w:val="en-US"/>
      </w:rPr>
      <w:t>S 296001 Part 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26DE" w:rsidRDefault="00D426DE" w:rsidP="00D661C2">
      <w:pPr>
        <w:spacing w:after="120"/>
      </w:pPr>
      <w:r>
        <w:separator/>
      </w:r>
    </w:p>
    <w:p w:rsidR="00D426DE" w:rsidRDefault="00D426DE" w:rsidP="00D661C2">
      <w:pPr>
        <w:spacing w:after="120"/>
      </w:pPr>
    </w:p>
  </w:footnote>
  <w:footnote w:type="continuationSeparator" w:id="0">
    <w:p w:rsidR="00D426DE" w:rsidRDefault="00D426DE" w:rsidP="00D661C2">
      <w:pPr>
        <w:spacing w:after="120"/>
      </w:pPr>
      <w:r>
        <w:continuationSeparator/>
      </w:r>
    </w:p>
    <w:p w:rsidR="00D426DE" w:rsidRDefault="00D426DE"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3" w:name="mioPage1"/>
          <w:proofErr w:type="spellStart"/>
          <w:r>
            <w:t>Seite</w:t>
          </w:r>
          <w:bookmarkEnd w:id="3"/>
          <w:proofErr w:type="spellEnd"/>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4" w:name="mioPageOf"/>
          <w:r>
            <w:t>von</w:t>
          </w:r>
          <w:bookmarkEnd w:id="4"/>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Default="002F1808" w:rsidP="00180A7B">
    <w:pPr>
      <w:pStyle w:val="Kopfzeile"/>
      <w:spacing w:after="120"/>
    </w:pPr>
    <w:r w:rsidRPr="00C03E1A">
      <w:rPr>
        <w:noProof/>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5" w:name="_Hlk525026156"/>
  <w:bookmarkStart w:id="6" w:name="_Hlk525026157"/>
  <w:bookmarkStart w:id="7" w:name="_Hlk525026301"/>
  <w:bookmarkStart w:id="8" w:name="_Hlk525026302"/>
  <w:bookmarkStart w:id="9" w:name="_Hlk525026309"/>
  <w:bookmarkStart w:id="10" w:name="_Hlk525026310"/>
  <w:bookmarkStart w:id="11" w:name="_Hlk525026395"/>
  <w:bookmarkStart w:id="12" w:name="_Hlk525026396"/>
  <w:bookmarkStart w:id="13" w:name="_Hlk525026462"/>
  <w:bookmarkStart w:id="14" w:name="_Hlk525026463"/>
  <w:bookmarkStart w:id="15" w:name="_Hlk525026492"/>
  <w:bookmarkStart w:id="16" w:name="_Hlk525026493"/>
  <w:bookmarkStart w:id="17" w:name="_Hlk525026714"/>
  <w:bookmarkStart w:id="18" w:name="_Hlk525026715"/>
  <w:bookmarkStart w:id="19" w:name="_Hlk525026792"/>
  <w:bookmarkStart w:id="20" w:name="_Hlk525026793"/>
  <w:p w:rsidR="00173884" w:rsidRPr="00437E62" w:rsidRDefault="00437E62" w:rsidP="00437E62">
    <w:pPr>
      <w:pStyle w:val="Kopfzeile"/>
      <w:spacing w:after="180"/>
    </w:pPr>
    <w:r>
      <w:rPr>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63774"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lvlText w:val="%1"/>
      <w:lvlJc w:val="left"/>
      <w:pPr>
        <w:tabs>
          <w:tab w:val="num" w:pos="1072"/>
        </w:tabs>
        <w:ind w:left="1072" w:hanging="1072"/>
      </w:pPr>
      <w:rPr>
        <w:rFonts w:hint="default"/>
      </w:rPr>
    </w:lvl>
    <w:lvl w:ilvl="1">
      <w:start w:val="1"/>
      <w:numFmt w:val="decimal"/>
      <w:lvlText w:val="%1.%2"/>
      <w:lvlJc w:val="left"/>
      <w:pPr>
        <w:tabs>
          <w:tab w:val="num" w:pos="1072"/>
        </w:tabs>
        <w:ind w:left="1072" w:hanging="1072"/>
      </w:pPr>
      <w:rPr>
        <w:rFonts w:hint="default"/>
      </w:rPr>
    </w:lvl>
    <w:lvl w:ilvl="2">
      <w:start w:val="1"/>
      <w:numFmt w:val="decimal"/>
      <w:lvlText w:val="%1.%2.%3"/>
      <w:lvlJc w:val="left"/>
      <w:pPr>
        <w:tabs>
          <w:tab w:val="num" w:pos="1072"/>
        </w:tabs>
        <w:ind w:left="1072" w:hanging="1072"/>
      </w:pPr>
      <w:rPr>
        <w:rFonts w:hint="default"/>
      </w:rPr>
    </w:lvl>
    <w:lvl w:ilvl="3">
      <w:start w:val="1"/>
      <w:numFmt w:val="decimal"/>
      <w:lvlText w:val="%1.%2.%3.%4"/>
      <w:lvlJc w:val="left"/>
      <w:pPr>
        <w:tabs>
          <w:tab w:val="num" w:pos="1072"/>
        </w:tabs>
        <w:ind w:left="1072" w:hanging="1072"/>
      </w:pPr>
      <w:rPr>
        <w:rFonts w:hint="default"/>
      </w:rPr>
    </w:lvl>
    <w:lvl w:ilvl="4">
      <w:start w:val="1"/>
      <w:numFmt w:val="decimal"/>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7"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8"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6"/>
  </w:num>
  <w:num w:numId="8">
    <w:abstractNumId w:val="6"/>
  </w:num>
  <w:num w:numId="9">
    <w:abstractNumId w:val="6"/>
  </w:num>
  <w:num w:numId="10">
    <w:abstractNumId w:val="6"/>
  </w:num>
  <w:num w:numId="11">
    <w:abstractNumId w:val="7"/>
  </w:num>
  <w:num w:numId="12">
    <w:abstractNumId w:val="7"/>
  </w:num>
  <w:num w:numId="13">
    <w:abstractNumId w:val="7"/>
  </w:num>
  <w:num w:numId="14">
    <w:abstractNumId w:val="5"/>
  </w:num>
  <w:num w:numId="15">
    <w:abstractNumId w:val="5"/>
  </w:num>
  <w:num w:numId="16">
    <w:abstractNumId w:val="5"/>
  </w:num>
  <w:num w:numId="17">
    <w:abstractNumId w:val="5"/>
  </w:num>
  <w:num w:numId="18">
    <w:abstractNumId w:val="5"/>
  </w:num>
  <w:num w:numId="19">
    <w:abstractNumId w:val="8"/>
  </w:num>
  <w:num w:numId="20">
    <w:abstractNumId w:val="8"/>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6"/>
  </w:num>
  <w:num w:numId="27">
    <w:abstractNumId w:val="6"/>
  </w:num>
  <w:num w:numId="28">
    <w:abstractNumId w:val="6"/>
  </w:num>
  <w:num w:numId="29">
    <w:abstractNumId w:val="6"/>
  </w:num>
  <w:num w:numId="30">
    <w:abstractNumId w:val="6"/>
  </w:num>
  <w:num w:numId="31">
    <w:abstractNumId w:val="7"/>
  </w:num>
  <w:num w:numId="32">
    <w:abstractNumId w:val="7"/>
  </w:num>
  <w:num w:numId="33">
    <w:abstractNumId w:val="7"/>
  </w:num>
  <w:num w:numId="34">
    <w:abstractNumId w:val="8"/>
  </w:num>
  <w:num w:numId="35">
    <w:abstractNumId w:val="8"/>
  </w:num>
  <w:num w:numId="36">
    <w:abstractNumId w:val="8"/>
  </w:num>
  <w:num w:numId="37">
    <w:abstractNumId w:val="7"/>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ocumentProtection w:edit="forms" w:enforcement="1" w:cryptProviderType="rsaAES" w:cryptAlgorithmClass="hash" w:cryptAlgorithmType="typeAny" w:cryptAlgorithmSid="14" w:cryptSpinCount="100000" w:hash="p1+XXy1cZo3/2TDHg0/idYujluKtP6YNDPtssxmanQlIUSRF94DNq3bAU0gbBUnF0prOpEx+aIN4y3W2U9UU3A==" w:salt="IntZD9I5LA3ft1xi0TALKQ=="/>
  <w:defaultTabStop w:val="708"/>
  <w:autoHyphenation/>
  <w:hyphenationZone w:val="425"/>
  <w:defaultTableStyle w:val="SchaefflerTable"/>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83387"/>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046D8"/>
    <w:rsid w:val="00A1577E"/>
    <w:rsid w:val="00A1729C"/>
    <w:rsid w:val="00A1731F"/>
    <w:rsid w:val="00A217E6"/>
    <w:rsid w:val="00A23555"/>
    <w:rsid w:val="00A24500"/>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426DE"/>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B15"/>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rsid w:val="002A61E6"/>
    <w:pPr>
      <w:spacing w:after="480" w:line="240" w:lineRule="auto"/>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semiHidden/>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semiHidden/>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semiHidden/>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semiHidden/>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A046D8"/>
    <w:pPr>
      <w:tabs>
        <w:tab w:val="left" w:pos="2552"/>
        <w:tab w:val="left" w:pos="4536"/>
        <w:tab w:val="left" w:pos="6804"/>
      </w:tabs>
      <w:spacing w:before="60" w:after="60" w:line="240" w:lineRule="auto"/>
      <w:jc w:val="both"/>
    </w:pPr>
    <w:rPr>
      <w:rFonts w:ascii="Arial" w:eastAsia="Times New Roman" w:hAnsi="Arial" w:cs="Times New Roman"/>
      <w:color w:val="auto"/>
      <w:sz w:val="22"/>
      <w:szCs w:val="20"/>
      <w:lang w:val="de-DE" w:eastAsia="de-DE"/>
    </w:rPr>
  </w:style>
  <w:style w:type="paragraph" w:customStyle="1" w:styleId="Titel2">
    <w:name w:val="Titel 2"/>
    <w:basedOn w:val="Standard"/>
    <w:next w:val="Standard"/>
    <w:autoRedefine/>
    <w:rsid w:val="00A046D8"/>
    <w:pPr>
      <w:tabs>
        <w:tab w:val="left" w:pos="2552"/>
        <w:tab w:val="left" w:pos="4536"/>
        <w:tab w:val="left" w:pos="6804"/>
      </w:tabs>
      <w:spacing w:before="240" w:after="40" w:line="240" w:lineRule="auto"/>
    </w:pPr>
    <w:rPr>
      <w:rFonts w:ascii="Arial" w:eastAsia="Times New Roman" w:hAnsi="Arial" w:cs="Times New Roman"/>
      <w:b/>
      <w:color w:val="auto"/>
      <w:sz w:val="22"/>
      <w:szCs w:val="20"/>
      <w:lang w:val="de-DE" w:eastAsia="de-DE"/>
    </w:rPr>
  </w:style>
  <w:style w:type="character" w:customStyle="1" w:styleId="StandardBlockZchn">
    <w:name w:val="Standard Block Zchn"/>
    <w:basedOn w:val="Absatz-Standardschriftart"/>
    <w:link w:val="StandardBlock"/>
    <w:rsid w:val="00A046D8"/>
    <w:rPr>
      <w:rFonts w:ascii="Arial" w:eastAsia="Times New Roman" w:hAnsi="Arial" w:cs="Times New Roman"/>
      <w:szCs w:val="20"/>
      <w:lang w:val="de-DE" w:eastAsia="de-DE"/>
    </w:rPr>
  </w:style>
  <w:style w:type="paragraph" w:styleId="Listenabsatz">
    <w:name w:val="List Paragraph"/>
    <w:basedOn w:val="Standard"/>
    <w:uiPriority w:val="34"/>
    <w:semiHidden/>
    <w:rsid w:val="00A04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8B744-7C1E-4E76-A0E6-144737970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3149</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3</cp:revision>
  <cp:lastPrinted>2018-08-01T09:09:00Z</cp:lastPrinted>
  <dcterms:created xsi:type="dcterms:W3CDTF">2020-10-29T12:48:00Z</dcterms:created>
  <dcterms:modified xsi:type="dcterms:W3CDTF">2020-10-30T13:55:00Z</dcterms:modified>
</cp:coreProperties>
</file>