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3B" w:rsidRPr="004D0F3B" w:rsidRDefault="004D0F3B" w:rsidP="004D0F3B">
      <w:pPr>
        <w:pStyle w:val="Titel"/>
        <w:rPr>
          <w:rFonts w:asciiTheme="minorHAnsi" w:hAnsiTheme="minorHAnsi" w:cstheme="minorHAnsi"/>
          <w:b w:val="0"/>
          <w:lang w:val="en-US"/>
        </w:rPr>
      </w:pPr>
      <w:r w:rsidRPr="004D0F3B">
        <w:rPr>
          <w:rFonts w:asciiTheme="minorHAnsi" w:hAnsiTheme="minorHAnsi" w:cstheme="minorHAnsi"/>
          <w:lang w:val="en-US"/>
        </w:rPr>
        <w:t>Quality Assurance Agreement with Software Suppliers</w:t>
      </w:r>
    </w:p>
    <w:p w:rsidR="004D0F3B" w:rsidRPr="004D0F3B" w:rsidRDefault="004D0F3B" w:rsidP="004D0F3B">
      <w:pPr>
        <w:pStyle w:val="StandardZentriert"/>
        <w:jc w:val="left"/>
        <w:rPr>
          <w:rFonts w:asciiTheme="minorHAnsi" w:hAnsiTheme="minorHAnsi" w:cstheme="minorHAnsi"/>
        </w:rPr>
      </w:pPr>
    </w:p>
    <w:p w:rsidR="004D0F3B" w:rsidRPr="004D0F3B" w:rsidRDefault="004D0F3B" w:rsidP="004D0F3B">
      <w:pPr>
        <w:pStyle w:val="StandardZentriert"/>
        <w:jc w:val="left"/>
        <w:rPr>
          <w:rFonts w:asciiTheme="minorHAnsi" w:hAnsiTheme="minorHAnsi" w:cstheme="minorHAnsi"/>
        </w:rPr>
      </w:pPr>
    </w:p>
    <w:p w:rsidR="004D0F3B" w:rsidRPr="004D0F3B" w:rsidRDefault="004D0F3B" w:rsidP="004D0F3B">
      <w:pPr>
        <w:rPr>
          <w:rFonts w:cstheme="minorHAnsi"/>
        </w:rPr>
      </w:pPr>
    </w:p>
    <w:p w:rsidR="004D0F3B" w:rsidRPr="004D0F3B" w:rsidRDefault="004D0F3B" w:rsidP="004D0F3B">
      <w:pPr>
        <w:rPr>
          <w:rFonts w:cstheme="minorHAnsi"/>
        </w:rPr>
      </w:pPr>
    </w:p>
    <w:p w:rsidR="004D0F3B" w:rsidRPr="009A0B0B" w:rsidRDefault="004D0F3B" w:rsidP="004D0F3B">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A0B0B">
        <w:rPr>
          <w:rFonts w:asciiTheme="minorHAnsi" w:hAnsiTheme="minorHAnsi" w:cstheme="minorHAnsi"/>
          <w:szCs w:val="22"/>
        </w:rPr>
        <w:t xml:space="preserve">between </w:t>
      </w:r>
      <w:r w:rsidRPr="009A0B0B">
        <w:rPr>
          <w:rFonts w:asciiTheme="minorHAnsi" w:hAnsiTheme="minorHAnsi" w:cstheme="minorHAnsi"/>
          <w:szCs w:val="22"/>
        </w:rPr>
        <w:tab/>
      </w:r>
      <w:r w:rsidRPr="009A0B0B">
        <w:rPr>
          <w:rFonts w:asciiTheme="minorHAnsi" w:hAnsiTheme="minorHAnsi" w:cstheme="minorHAnsi"/>
          <w:szCs w:val="22"/>
        </w:rPr>
        <w:fldChar w:fldCharType="begin">
          <w:ffData>
            <w:name w:val="Text4"/>
            <w:enabled/>
            <w:calcOnExit w:val="0"/>
            <w:textInput/>
          </w:ffData>
        </w:fldChar>
      </w:r>
      <w:r w:rsidRPr="009A0B0B">
        <w:rPr>
          <w:rFonts w:asciiTheme="minorHAnsi" w:hAnsiTheme="minorHAnsi" w:cstheme="minorHAnsi"/>
          <w:szCs w:val="22"/>
        </w:rPr>
        <w:instrText xml:space="preserve"> FORMTEXT </w:instrText>
      </w:r>
      <w:r w:rsidRPr="009A0B0B">
        <w:rPr>
          <w:rFonts w:asciiTheme="minorHAnsi" w:hAnsiTheme="minorHAnsi" w:cstheme="minorHAnsi"/>
          <w:szCs w:val="22"/>
        </w:rPr>
      </w:r>
      <w:r w:rsidRPr="009A0B0B">
        <w:rPr>
          <w:rFonts w:asciiTheme="minorHAnsi" w:hAnsiTheme="minorHAnsi" w:cstheme="minorHAnsi"/>
          <w:szCs w:val="22"/>
        </w:rPr>
        <w:fldChar w:fldCharType="separate"/>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szCs w:val="22"/>
        </w:rPr>
        <w:fldChar w:fldCharType="end"/>
      </w:r>
    </w:p>
    <w:bookmarkStart w:id="0" w:name="Text4"/>
    <w:p w:rsidR="004D0F3B" w:rsidRPr="009A0B0B" w:rsidRDefault="004D0F3B" w:rsidP="004D0F3B">
      <w:pPr>
        <w:tabs>
          <w:tab w:val="left" w:pos="1620"/>
        </w:tabs>
        <w:spacing w:before="60"/>
        <w:ind w:left="1620"/>
        <w:rPr>
          <w:rFonts w:cstheme="minorHAnsi"/>
          <w:sz w:val="22"/>
        </w:rPr>
      </w:pPr>
      <w:r w:rsidRPr="009A0B0B">
        <w:rPr>
          <w:rFonts w:cstheme="minorHAnsi"/>
          <w:sz w:val="22"/>
        </w:rPr>
        <w:fldChar w:fldCharType="begin">
          <w:ffData>
            <w:name w:val="Text4"/>
            <w:enabled/>
            <w:calcOnExit w:val="0"/>
            <w:textInput/>
          </w:ffData>
        </w:fldChar>
      </w:r>
      <w:r w:rsidRPr="009A0B0B">
        <w:rPr>
          <w:rFonts w:cstheme="minorHAnsi"/>
          <w:sz w:val="22"/>
        </w:rPr>
        <w:instrText xml:space="preserve"> FORMTEXT </w:instrText>
      </w:r>
      <w:r w:rsidRPr="009A0B0B">
        <w:rPr>
          <w:rFonts w:cstheme="minorHAnsi"/>
          <w:sz w:val="22"/>
        </w:rPr>
      </w:r>
      <w:r w:rsidRPr="009A0B0B">
        <w:rPr>
          <w:rFonts w:cstheme="minorHAnsi"/>
          <w:sz w:val="22"/>
        </w:rPr>
        <w:fldChar w:fldCharType="separate"/>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sz w:val="22"/>
        </w:rPr>
        <w:fldChar w:fldCharType="end"/>
      </w:r>
      <w:bookmarkEnd w:id="0"/>
    </w:p>
    <w:p w:rsidR="004D0F3B" w:rsidRPr="009A0B0B" w:rsidRDefault="004D0F3B" w:rsidP="004D0F3B">
      <w:pPr>
        <w:tabs>
          <w:tab w:val="left" w:pos="1620"/>
        </w:tabs>
        <w:spacing w:before="60"/>
        <w:ind w:left="1620"/>
        <w:rPr>
          <w:rFonts w:cstheme="minorHAnsi"/>
          <w:sz w:val="22"/>
        </w:rPr>
      </w:pPr>
      <w:r w:rsidRPr="009A0B0B">
        <w:rPr>
          <w:rFonts w:cstheme="minorHAnsi"/>
          <w:sz w:val="22"/>
        </w:rPr>
        <w:fldChar w:fldCharType="begin">
          <w:ffData>
            <w:name w:val="Text4"/>
            <w:enabled/>
            <w:calcOnExit w:val="0"/>
            <w:textInput/>
          </w:ffData>
        </w:fldChar>
      </w:r>
      <w:r w:rsidRPr="009A0B0B">
        <w:rPr>
          <w:rFonts w:cstheme="minorHAnsi"/>
          <w:sz w:val="22"/>
        </w:rPr>
        <w:instrText xml:space="preserve"> FORMTEXT </w:instrText>
      </w:r>
      <w:r w:rsidRPr="009A0B0B">
        <w:rPr>
          <w:rFonts w:cstheme="minorHAnsi"/>
          <w:sz w:val="22"/>
        </w:rPr>
      </w:r>
      <w:r w:rsidRPr="009A0B0B">
        <w:rPr>
          <w:rFonts w:cstheme="minorHAnsi"/>
          <w:sz w:val="22"/>
        </w:rPr>
        <w:fldChar w:fldCharType="separate"/>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sz w:val="22"/>
        </w:rPr>
        <w:fldChar w:fldCharType="end"/>
      </w:r>
    </w:p>
    <w:p w:rsidR="004D0F3B" w:rsidRPr="009A0B0B" w:rsidRDefault="004D0F3B" w:rsidP="004D0F3B">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A0B0B">
        <w:rPr>
          <w:rFonts w:asciiTheme="minorHAnsi" w:hAnsiTheme="minorHAnsi" w:cstheme="minorHAnsi"/>
          <w:szCs w:val="22"/>
        </w:rPr>
        <w:tab/>
      </w:r>
      <w:r w:rsidRPr="009A0B0B">
        <w:rPr>
          <w:rFonts w:asciiTheme="minorHAnsi" w:hAnsiTheme="minorHAnsi" w:cstheme="minorHAnsi"/>
          <w:szCs w:val="22"/>
        </w:rPr>
        <w:fldChar w:fldCharType="begin">
          <w:ffData>
            <w:name w:val="Text4"/>
            <w:enabled/>
            <w:calcOnExit w:val="0"/>
            <w:textInput/>
          </w:ffData>
        </w:fldChar>
      </w:r>
      <w:r w:rsidRPr="009A0B0B">
        <w:rPr>
          <w:rFonts w:asciiTheme="minorHAnsi" w:hAnsiTheme="minorHAnsi" w:cstheme="minorHAnsi"/>
          <w:szCs w:val="22"/>
        </w:rPr>
        <w:instrText xml:space="preserve"> FORMTEXT </w:instrText>
      </w:r>
      <w:r w:rsidRPr="009A0B0B">
        <w:rPr>
          <w:rFonts w:asciiTheme="minorHAnsi" w:hAnsiTheme="minorHAnsi" w:cstheme="minorHAnsi"/>
          <w:szCs w:val="22"/>
        </w:rPr>
      </w:r>
      <w:r w:rsidRPr="009A0B0B">
        <w:rPr>
          <w:rFonts w:asciiTheme="minorHAnsi" w:hAnsiTheme="minorHAnsi" w:cstheme="minorHAnsi"/>
          <w:szCs w:val="22"/>
        </w:rPr>
        <w:fldChar w:fldCharType="separate"/>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noProof/>
          <w:szCs w:val="22"/>
        </w:rPr>
        <w:t> </w:t>
      </w:r>
      <w:r w:rsidRPr="009A0B0B">
        <w:rPr>
          <w:rFonts w:asciiTheme="minorHAnsi" w:hAnsiTheme="minorHAnsi" w:cstheme="minorHAnsi"/>
          <w:szCs w:val="22"/>
        </w:rPr>
        <w:fldChar w:fldCharType="end"/>
      </w:r>
    </w:p>
    <w:p w:rsidR="004D0F3B" w:rsidRPr="009A0B0B" w:rsidRDefault="004D0F3B" w:rsidP="004D0F3B">
      <w:pPr>
        <w:tabs>
          <w:tab w:val="left" w:pos="1620"/>
        </w:tabs>
        <w:spacing w:before="60"/>
        <w:rPr>
          <w:rFonts w:cstheme="minorHAnsi"/>
          <w:sz w:val="22"/>
        </w:rPr>
      </w:pPr>
      <w:r w:rsidRPr="009A0B0B">
        <w:rPr>
          <w:rFonts w:cstheme="minorHAnsi"/>
          <w:sz w:val="22"/>
        </w:rPr>
        <w:tab/>
        <w:t xml:space="preserve">Schaeffler supplier no.: </w:t>
      </w:r>
      <w:r w:rsidRPr="009A0B0B">
        <w:rPr>
          <w:rFonts w:cstheme="minorHAnsi"/>
          <w:sz w:val="22"/>
        </w:rPr>
        <w:fldChar w:fldCharType="begin">
          <w:ffData>
            <w:name w:val="Text4"/>
            <w:enabled/>
            <w:calcOnExit w:val="0"/>
            <w:textInput/>
          </w:ffData>
        </w:fldChar>
      </w:r>
      <w:r w:rsidRPr="009A0B0B">
        <w:rPr>
          <w:rFonts w:cstheme="minorHAnsi"/>
          <w:sz w:val="22"/>
        </w:rPr>
        <w:instrText xml:space="preserve"> FORMTEXT </w:instrText>
      </w:r>
      <w:r w:rsidRPr="009A0B0B">
        <w:rPr>
          <w:rFonts w:cstheme="minorHAnsi"/>
          <w:sz w:val="22"/>
        </w:rPr>
      </w:r>
      <w:r w:rsidRPr="009A0B0B">
        <w:rPr>
          <w:rFonts w:cstheme="minorHAnsi"/>
          <w:sz w:val="22"/>
        </w:rPr>
        <w:fldChar w:fldCharType="separate"/>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sz w:val="22"/>
        </w:rPr>
        <w:fldChar w:fldCharType="end"/>
      </w:r>
    </w:p>
    <w:p w:rsidR="004D0F3B" w:rsidRPr="009A0B0B" w:rsidRDefault="004D0F3B" w:rsidP="004D0F3B">
      <w:pPr>
        <w:tabs>
          <w:tab w:val="left" w:pos="1620"/>
        </w:tabs>
        <w:spacing w:before="60"/>
        <w:rPr>
          <w:rFonts w:cstheme="minorHAnsi"/>
          <w:sz w:val="22"/>
        </w:rPr>
      </w:pPr>
      <w:r w:rsidRPr="009A0B0B">
        <w:rPr>
          <w:rFonts w:cstheme="minorHAnsi"/>
          <w:sz w:val="22"/>
        </w:rPr>
        <w:tab/>
      </w:r>
      <w:bookmarkStart w:id="1" w:name="Text6"/>
      <w:r w:rsidRPr="009A0B0B">
        <w:rPr>
          <w:rFonts w:cstheme="minorHAnsi"/>
          <w:sz w:val="22"/>
        </w:rPr>
        <w:t xml:space="preserve">UPIK/DUNS no.: </w:t>
      </w:r>
      <w:r w:rsidRPr="009A0B0B">
        <w:rPr>
          <w:rFonts w:cstheme="minorHAnsi"/>
          <w:sz w:val="22"/>
        </w:rPr>
        <w:fldChar w:fldCharType="begin">
          <w:ffData>
            <w:name w:val="Text4"/>
            <w:enabled/>
            <w:calcOnExit w:val="0"/>
            <w:textInput/>
          </w:ffData>
        </w:fldChar>
      </w:r>
      <w:r w:rsidRPr="009A0B0B">
        <w:rPr>
          <w:rFonts w:cstheme="minorHAnsi"/>
          <w:sz w:val="22"/>
        </w:rPr>
        <w:instrText xml:space="preserve"> FORMTEXT </w:instrText>
      </w:r>
      <w:r w:rsidRPr="009A0B0B">
        <w:rPr>
          <w:rFonts w:cstheme="minorHAnsi"/>
          <w:sz w:val="22"/>
        </w:rPr>
      </w:r>
      <w:r w:rsidRPr="009A0B0B">
        <w:rPr>
          <w:rFonts w:cstheme="minorHAnsi"/>
          <w:sz w:val="22"/>
        </w:rPr>
        <w:fldChar w:fldCharType="separate"/>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noProof/>
          <w:sz w:val="22"/>
        </w:rPr>
        <w:t> </w:t>
      </w:r>
      <w:r w:rsidRPr="009A0B0B">
        <w:rPr>
          <w:rFonts w:cstheme="minorHAnsi"/>
          <w:sz w:val="22"/>
        </w:rPr>
        <w:fldChar w:fldCharType="end"/>
      </w:r>
      <w:bookmarkEnd w:id="1"/>
    </w:p>
    <w:p w:rsidR="004D0F3B" w:rsidRPr="009A0B0B" w:rsidRDefault="004D0F3B" w:rsidP="004D0F3B">
      <w:pPr>
        <w:pStyle w:val="StandardZentriert"/>
        <w:tabs>
          <w:tab w:val="clear" w:pos="2552"/>
          <w:tab w:val="clear" w:pos="4536"/>
          <w:tab w:val="clear" w:pos="6804"/>
          <w:tab w:val="left" w:pos="1620"/>
        </w:tabs>
        <w:jc w:val="left"/>
        <w:rPr>
          <w:rFonts w:asciiTheme="minorHAnsi" w:hAnsiTheme="minorHAnsi" w:cstheme="minorHAnsi"/>
          <w:szCs w:val="22"/>
        </w:rPr>
      </w:pPr>
      <w:r w:rsidRPr="009A0B0B">
        <w:rPr>
          <w:rFonts w:asciiTheme="minorHAnsi" w:hAnsiTheme="minorHAnsi" w:cstheme="minorHAnsi"/>
          <w:szCs w:val="22"/>
        </w:rPr>
        <w:tab/>
      </w:r>
    </w:p>
    <w:p w:rsidR="004D0F3B" w:rsidRPr="009A0B0B" w:rsidRDefault="004D0F3B" w:rsidP="004D0F3B">
      <w:pPr>
        <w:pStyle w:val="StandardZentriert"/>
        <w:tabs>
          <w:tab w:val="clear" w:pos="2552"/>
          <w:tab w:val="clear" w:pos="4536"/>
          <w:tab w:val="clear" w:pos="6804"/>
          <w:tab w:val="left" w:pos="1620"/>
        </w:tabs>
        <w:jc w:val="left"/>
        <w:rPr>
          <w:rFonts w:asciiTheme="minorHAnsi" w:hAnsiTheme="minorHAnsi" w:cstheme="minorHAnsi"/>
          <w:szCs w:val="22"/>
        </w:rPr>
      </w:pPr>
      <w:r w:rsidRPr="009A0B0B">
        <w:rPr>
          <w:rFonts w:asciiTheme="minorHAnsi" w:hAnsiTheme="minorHAnsi" w:cstheme="minorHAnsi"/>
          <w:szCs w:val="22"/>
        </w:rPr>
        <w:tab/>
        <w:t>(hereinafter referred to as the supplier)</w:t>
      </w:r>
    </w:p>
    <w:p w:rsidR="004D0F3B" w:rsidRPr="009A0B0B" w:rsidRDefault="004D0F3B" w:rsidP="004D0F3B">
      <w:pPr>
        <w:rPr>
          <w:rFonts w:cstheme="minorHAnsi"/>
          <w:sz w:val="22"/>
        </w:rPr>
      </w:pPr>
    </w:p>
    <w:p w:rsidR="004D0F3B" w:rsidRPr="009A0B0B" w:rsidRDefault="004D0F3B" w:rsidP="004D0F3B">
      <w:pPr>
        <w:rPr>
          <w:rFonts w:cstheme="minorHAnsi"/>
          <w:sz w:val="22"/>
        </w:rPr>
      </w:pPr>
    </w:p>
    <w:p w:rsidR="004D0F3B" w:rsidRPr="009A0B0B" w:rsidRDefault="004D0F3B" w:rsidP="004D0F3B">
      <w:pPr>
        <w:rPr>
          <w:rFonts w:cstheme="minorHAnsi"/>
          <w:sz w:val="22"/>
        </w:rPr>
      </w:pPr>
    </w:p>
    <w:p w:rsidR="004D0F3B" w:rsidRPr="009A0B0B" w:rsidRDefault="004D0F3B" w:rsidP="004D0F3B">
      <w:pPr>
        <w:rPr>
          <w:rFonts w:cstheme="minorHAnsi"/>
          <w:sz w:val="22"/>
        </w:rPr>
      </w:pPr>
    </w:p>
    <w:p w:rsidR="004D0F3B" w:rsidRPr="000C7686" w:rsidRDefault="004D0F3B" w:rsidP="004D0F3B">
      <w:pPr>
        <w:tabs>
          <w:tab w:val="left" w:pos="1620"/>
        </w:tabs>
        <w:spacing w:before="60"/>
        <w:rPr>
          <w:rFonts w:cstheme="minorHAnsi"/>
          <w:color w:val="008000"/>
          <w:sz w:val="22"/>
          <w:lang w:val="de-DE"/>
        </w:rPr>
      </w:pPr>
      <w:r w:rsidRPr="000C7686">
        <w:rPr>
          <w:rFonts w:cstheme="minorHAnsi"/>
          <w:sz w:val="22"/>
          <w:lang w:val="de-DE"/>
        </w:rPr>
        <w:t>and</w:t>
      </w:r>
      <w:r w:rsidRPr="000C7686">
        <w:rPr>
          <w:rFonts w:cstheme="minorHAnsi"/>
          <w:sz w:val="22"/>
          <w:lang w:val="de-DE"/>
        </w:rPr>
        <w:tab/>
      </w:r>
      <w:r w:rsidRPr="000C7686">
        <w:rPr>
          <w:rFonts w:cstheme="minorHAnsi"/>
          <w:color w:val="008000"/>
          <w:sz w:val="22"/>
          <w:lang w:val="de-DE"/>
        </w:rPr>
        <w:t xml:space="preserve">Schaeffler Technologies </w:t>
      </w:r>
      <w:r w:rsidRPr="000C7686">
        <w:rPr>
          <w:rFonts w:cstheme="minorHAnsi"/>
          <w:color w:val="0000FF"/>
          <w:sz w:val="22"/>
          <w:lang w:val="de-DE"/>
        </w:rPr>
        <w:t>AG</w:t>
      </w:r>
      <w:r w:rsidRPr="000C7686">
        <w:rPr>
          <w:rFonts w:cstheme="minorHAnsi"/>
          <w:color w:val="008000"/>
          <w:sz w:val="22"/>
          <w:lang w:val="de-DE"/>
        </w:rPr>
        <w:t xml:space="preserve"> &amp; Co. KG </w:t>
      </w:r>
    </w:p>
    <w:p w:rsidR="004D0F3B" w:rsidRPr="000C7686" w:rsidRDefault="004D0F3B" w:rsidP="004D0F3B">
      <w:pPr>
        <w:spacing w:before="60"/>
        <w:ind w:left="1620"/>
        <w:rPr>
          <w:rFonts w:cstheme="minorHAnsi"/>
          <w:sz w:val="22"/>
          <w:lang w:val="de-DE"/>
        </w:rPr>
      </w:pPr>
      <w:r w:rsidRPr="000C7686">
        <w:rPr>
          <w:rFonts w:cstheme="minorHAnsi"/>
          <w:sz w:val="22"/>
          <w:lang w:val="de-DE"/>
        </w:rPr>
        <w:t>Industriestraße 1 - 3</w:t>
      </w:r>
    </w:p>
    <w:p w:rsidR="004D0F3B" w:rsidRPr="009A0B0B" w:rsidRDefault="004D0F3B" w:rsidP="004D0F3B">
      <w:pPr>
        <w:spacing w:before="60"/>
        <w:ind w:left="1620"/>
        <w:rPr>
          <w:rFonts w:cstheme="minorHAnsi"/>
          <w:sz w:val="22"/>
        </w:rPr>
      </w:pPr>
      <w:r w:rsidRPr="009A0B0B">
        <w:rPr>
          <w:rFonts w:cstheme="minorHAnsi"/>
          <w:sz w:val="22"/>
        </w:rPr>
        <w:t xml:space="preserve">91074 Herzogenaurach </w:t>
      </w:r>
    </w:p>
    <w:p w:rsidR="004D0F3B" w:rsidRPr="009A0B0B" w:rsidRDefault="004D0F3B" w:rsidP="004D0F3B">
      <w:pPr>
        <w:spacing w:before="60"/>
        <w:ind w:left="1620"/>
        <w:rPr>
          <w:rFonts w:cstheme="minorHAnsi"/>
          <w:sz w:val="22"/>
        </w:rPr>
      </w:pPr>
      <w:r w:rsidRPr="009A0B0B">
        <w:rPr>
          <w:rFonts w:cstheme="minorHAnsi"/>
          <w:sz w:val="22"/>
        </w:rPr>
        <w:t>Germany</w:t>
      </w:r>
    </w:p>
    <w:p w:rsidR="004D0F3B" w:rsidRPr="009A0B0B" w:rsidRDefault="004D0F3B" w:rsidP="004D0F3B">
      <w:pPr>
        <w:rPr>
          <w:rFonts w:cstheme="minorHAnsi"/>
          <w:sz w:val="22"/>
        </w:rPr>
      </w:pPr>
    </w:p>
    <w:p w:rsidR="004D0F3B" w:rsidRPr="009A0B0B" w:rsidRDefault="004D0F3B" w:rsidP="004D0F3B">
      <w:pPr>
        <w:pStyle w:val="StandardZentriert"/>
        <w:tabs>
          <w:tab w:val="clear" w:pos="2552"/>
          <w:tab w:val="left" w:pos="1620"/>
        </w:tabs>
        <w:jc w:val="left"/>
        <w:rPr>
          <w:rFonts w:asciiTheme="minorHAnsi" w:hAnsiTheme="minorHAnsi" w:cstheme="minorHAnsi"/>
          <w:szCs w:val="22"/>
        </w:rPr>
      </w:pPr>
      <w:r w:rsidRPr="009A0B0B">
        <w:rPr>
          <w:rFonts w:asciiTheme="minorHAnsi" w:hAnsiTheme="minorHAnsi" w:cstheme="minorHAnsi"/>
          <w:szCs w:val="22"/>
        </w:rPr>
        <w:tab/>
        <w:t>(hereinafter referred to as Schaeffler)</w:t>
      </w: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rPr>
          <w:rFonts w:cstheme="minorHAnsi"/>
          <w:u w:val="single"/>
        </w:rPr>
      </w:pPr>
    </w:p>
    <w:p w:rsidR="004D0F3B" w:rsidRPr="004D0F3B" w:rsidRDefault="004D0F3B" w:rsidP="004D0F3B">
      <w:pPr>
        <w:pStyle w:val="StandardBlock"/>
        <w:rPr>
          <w:rFonts w:asciiTheme="minorHAnsi" w:hAnsiTheme="minorHAnsi" w:cstheme="minorHAnsi"/>
          <w:sz w:val="8"/>
          <w:u w:val="single"/>
        </w:rPr>
      </w:pPr>
      <w:proofErr w:type="spellStart"/>
      <w:r w:rsidRPr="004D0F3B">
        <w:rPr>
          <w:rFonts w:asciiTheme="minorHAnsi" w:hAnsiTheme="minorHAnsi" w:cstheme="minorHAnsi"/>
          <w:b/>
        </w:rPr>
        <w:t>Preambel</w:t>
      </w:r>
      <w:proofErr w:type="spellEnd"/>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competitiveness and position of the Schaeffler Group in the world market is decisively influenced by the quality of its products. The faultless functionality and reliability of purchased software and associated development activities have a direct influence on the quality of the Schaeffler Group's products. </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This </w:t>
      </w:r>
      <w:r w:rsidRPr="004D0F3B">
        <w:rPr>
          <w:rFonts w:asciiTheme="minorHAnsi" w:hAnsiTheme="minorHAnsi" w:cstheme="minorHAnsi"/>
          <w:i/>
          <w:iCs/>
        </w:rPr>
        <w:t>Quality Assurance Agreement with Software Suppliers (QSV)</w:t>
      </w:r>
      <w:r w:rsidRPr="004D0F3B">
        <w:rPr>
          <w:rFonts w:asciiTheme="minorHAnsi" w:hAnsiTheme="minorHAnsi" w:cstheme="minorHAnsi"/>
        </w:rPr>
        <w:t xml:space="preserve"> is a binding statement of the fundamental technical and organisational conditions governing all deliveries and services to the Schaeffler Group </w:t>
      </w:r>
      <w:r w:rsidRPr="004D0F3B">
        <w:rPr>
          <w:rFonts w:asciiTheme="minorHAnsi" w:hAnsiTheme="minorHAnsi" w:cstheme="minorHAnsi"/>
          <w:szCs w:val="22"/>
        </w:rPr>
        <w:t>(i.e. Schaeffler AG and all companies in which Schaeffler AG directly or indirectly holds a majority interest) that are required in order to achieve the joint intend</w:t>
      </w:r>
      <w:r w:rsidRPr="004D0F3B">
        <w:rPr>
          <w:rFonts w:asciiTheme="minorHAnsi" w:hAnsiTheme="minorHAnsi" w:cstheme="minorHAnsi"/>
        </w:rPr>
        <w:t>ed quality objective of "zero defects“. It describes the minimum requirements that are placed on the supplier's quality management system.</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conclusion of this </w:t>
      </w:r>
      <w:r w:rsidRPr="004D0F3B">
        <w:rPr>
          <w:rFonts w:asciiTheme="minorHAnsi" w:hAnsiTheme="minorHAnsi" w:cstheme="minorHAnsi"/>
          <w:i/>
        </w:rPr>
        <w:t>Quality Assurance Agreement</w:t>
      </w:r>
      <w:r w:rsidRPr="004D0F3B">
        <w:rPr>
          <w:rFonts w:asciiTheme="minorHAnsi" w:hAnsiTheme="minorHAnsi" w:cstheme="minorHAnsi"/>
        </w:rPr>
        <w:t xml:space="preserve"> represents an indispensable step for </w:t>
      </w:r>
      <w:r w:rsidRPr="004D0F3B">
        <w:rPr>
          <w:rFonts w:asciiTheme="minorHAnsi" w:hAnsiTheme="minorHAnsi" w:cstheme="minorHAnsi"/>
          <w:szCs w:val="22"/>
        </w:rPr>
        <w:t xml:space="preserve">a future business relationship with </w:t>
      </w:r>
      <w:r w:rsidRPr="004D0F3B">
        <w:rPr>
          <w:rFonts w:asciiTheme="minorHAnsi" w:hAnsiTheme="minorHAnsi" w:cstheme="minorHAnsi"/>
        </w:rPr>
        <w:t>the Schaeffler Group.</w:t>
      </w:r>
    </w:p>
    <w:p w:rsidR="004D0F3B" w:rsidRPr="004D0F3B" w:rsidRDefault="004D0F3B" w:rsidP="004D0F3B">
      <w:pPr>
        <w:rPr>
          <w:rFonts w:cstheme="minorHAnsi"/>
        </w:rPr>
      </w:pPr>
      <w:r w:rsidRPr="004D0F3B">
        <w:rPr>
          <w:rFonts w:cstheme="minorHAnsi"/>
        </w:rPr>
        <w:br w:type="page"/>
      </w:r>
    </w:p>
    <w:p w:rsidR="004D0F3B" w:rsidRPr="004D0F3B" w:rsidRDefault="004D0F3B" w:rsidP="004D0F3B">
      <w:pPr>
        <w:pStyle w:val="StandardZentriert"/>
        <w:spacing w:before="80" w:after="120"/>
        <w:jc w:val="left"/>
        <w:rPr>
          <w:rFonts w:asciiTheme="minorHAnsi" w:hAnsiTheme="minorHAnsi" w:cstheme="minorHAnsi"/>
          <w:b/>
          <w:sz w:val="28"/>
          <w:szCs w:val="28"/>
        </w:rPr>
      </w:pPr>
      <w:r w:rsidRPr="004D0F3B">
        <w:rPr>
          <w:rFonts w:asciiTheme="minorHAnsi" w:hAnsiTheme="minorHAnsi" w:cstheme="minorHAnsi"/>
          <w:b/>
          <w:sz w:val="28"/>
          <w:szCs w:val="28"/>
        </w:rPr>
        <w:lastRenderedPageBreak/>
        <w:t>Contents</w:t>
      </w:r>
    </w:p>
    <w:p w:rsidR="004D0F3B" w:rsidRPr="004D0F3B" w:rsidRDefault="004D0F3B" w:rsidP="004D0F3B">
      <w:pPr>
        <w:pStyle w:val="Verzeichnis1"/>
        <w:rPr>
          <w:rFonts w:asciiTheme="minorHAnsi" w:hAnsiTheme="minorHAnsi" w:cstheme="minorHAnsi"/>
          <w:b w:val="0"/>
          <w:szCs w:val="22"/>
          <w:lang w:bidi="ar-SA"/>
        </w:rPr>
      </w:pPr>
      <w:r w:rsidRPr="004D0F3B">
        <w:rPr>
          <w:rFonts w:asciiTheme="minorHAnsi" w:hAnsiTheme="minorHAnsi" w:cstheme="minorHAnsi"/>
        </w:rPr>
        <w:fldChar w:fldCharType="begin"/>
      </w:r>
      <w:r w:rsidRPr="004D0F3B">
        <w:rPr>
          <w:rFonts w:asciiTheme="minorHAnsi" w:hAnsiTheme="minorHAnsi" w:cstheme="minorHAnsi"/>
        </w:rPr>
        <w:instrText xml:space="preserve"> TOC \o "1-3" \h \z \u </w:instrText>
      </w:r>
      <w:r w:rsidRPr="004D0F3B">
        <w:rPr>
          <w:rFonts w:asciiTheme="minorHAnsi" w:hAnsiTheme="minorHAnsi" w:cstheme="minorHAnsi"/>
        </w:rPr>
        <w:fldChar w:fldCharType="separate"/>
      </w:r>
      <w:hyperlink w:anchor="_Toc357151539" w:history="1">
        <w:r w:rsidRPr="004D0F3B">
          <w:rPr>
            <w:rStyle w:val="Hyperlink"/>
            <w:rFonts w:asciiTheme="minorHAnsi" w:hAnsiTheme="minorHAnsi" w:cstheme="minorHAnsi"/>
          </w:rPr>
          <w:t>1</w:t>
        </w:r>
        <w:r w:rsidRPr="004D0F3B">
          <w:rPr>
            <w:rFonts w:asciiTheme="minorHAnsi" w:hAnsiTheme="minorHAnsi" w:cstheme="minorHAnsi"/>
            <w:b w:val="0"/>
            <w:szCs w:val="22"/>
            <w:lang w:bidi="ar-SA"/>
          </w:rPr>
          <w:tab/>
        </w:r>
        <w:r w:rsidRPr="004D0F3B">
          <w:rPr>
            <w:rStyle w:val="Hyperlink"/>
            <w:rFonts w:asciiTheme="minorHAnsi" w:hAnsiTheme="minorHAnsi" w:cstheme="minorHAnsi"/>
          </w:rPr>
          <w:t>Supplier's responsibility for the quality of his products and services</w:t>
        </w:r>
        <w:r w:rsidRPr="004D0F3B">
          <w:rPr>
            <w:rFonts w:asciiTheme="minorHAnsi" w:hAnsiTheme="minorHAnsi" w:cstheme="minorHAnsi"/>
            <w:webHidden/>
          </w:rPr>
          <w:tab/>
        </w:r>
        <w:r w:rsidRPr="004D0F3B">
          <w:rPr>
            <w:rFonts w:asciiTheme="minorHAnsi" w:hAnsiTheme="minorHAnsi" w:cstheme="minorHAnsi"/>
            <w:webHidden/>
          </w:rPr>
          <w:fldChar w:fldCharType="begin"/>
        </w:r>
        <w:r w:rsidRPr="004D0F3B">
          <w:rPr>
            <w:rFonts w:asciiTheme="minorHAnsi" w:hAnsiTheme="minorHAnsi" w:cstheme="minorHAnsi"/>
            <w:webHidden/>
          </w:rPr>
          <w:instrText xml:space="preserve"> PAGEREF _Toc357151539 \h </w:instrText>
        </w:r>
        <w:r w:rsidRPr="004D0F3B">
          <w:rPr>
            <w:rFonts w:asciiTheme="minorHAnsi" w:hAnsiTheme="minorHAnsi" w:cstheme="minorHAnsi"/>
            <w:webHidden/>
          </w:rPr>
        </w:r>
        <w:r w:rsidRPr="004D0F3B">
          <w:rPr>
            <w:rFonts w:asciiTheme="minorHAnsi" w:hAnsiTheme="minorHAnsi" w:cstheme="minorHAnsi"/>
            <w:webHidden/>
          </w:rPr>
          <w:fldChar w:fldCharType="separate"/>
        </w:r>
        <w:r w:rsidR="006620E1">
          <w:rPr>
            <w:rFonts w:asciiTheme="minorHAnsi" w:hAnsiTheme="minorHAnsi" w:cstheme="minorHAnsi"/>
            <w:webHidden/>
          </w:rPr>
          <w:t>3</w:t>
        </w:r>
        <w:r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0" w:history="1">
        <w:r w:rsidR="004D0F3B" w:rsidRPr="004D0F3B">
          <w:rPr>
            <w:rStyle w:val="Hyperlink"/>
            <w:rFonts w:asciiTheme="minorHAnsi" w:hAnsiTheme="minorHAnsi" w:cstheme="minorHAnsi"/>
          </w:rPr>
          <w:t>2</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Quality management system</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_Toc357151540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3</w:t>
        </w:r>
        <w:r w:rsidR="004D0F3B" w:rsidRPr="004D0F3B">
          <w:rPr>
            <w:rFonts w:asciiTheme="minorHAnsi" w:hAnsiTheme="minorHAnsi" w:cstheme="minorHAnsi"/>
            <w:webHidden/>
          </w:rPr>
          <w:fldChar w:fldCharType="end"/>
        </w:r>
      </w:hyperlink>
    </w:p>
    <w:p w:rsidR="004D0F3B" w:rsidRPr="004D0F3B" w:rsidRDefault="006620E1" w:rsidP="004D0F3B">
      <w:pPr>
        <w:pStyle w:val="Verzeichnis2"/>
        <w:rPr>
          <w:rFonts w:asciiTheme="minorHAnsi" w:hAnsiTheme="minorHAnsi" w:cstheme="minorHAnsi"/>
          <w:szCs w:val="22"/>
          <w:lang w:bidi="ar-SA"/>
        </w:rPr>
      </w:pPr>
      <w:hyperlink w:anchor="_Toc357151541" w:history="1">
        <w:r w:rsidR="004D0F3B" w:rsidRPr="004D0F3B">
          <w:rPr>
            <w:rStyle w:val="Hyperlink"/>
            <w:rFonts w:asciiTheme="minorHAnsi" w:hAnsiTheme="minorHAnsi" w:cstheme="minorHAnsi"/>
          </w:rPr>
          <w:t>2.1</w:t>
        </w:r>
        <w:r w:rsidR="004D0F3B" w:rsidRPr="004D0F3B">
          <w:rPr>
            <w:rFonts w:asciiTheme="minorHAnsi" w:hAnsiTheme="minorHAnsi" w:cstheme="minorHAnsi"/>
            <w:szCs w:val="22"/>
            <w:lang w:bidi="ar-SA"/>
          </w:rPr>
          <w:tab/>
        </w:r>
        <w:r w:rsidR="004D0F3B" w:rsidRPr="004D0F3B">
          <w:rPr>
            <w:rStyle w:val="Hyperlink"/>
            <w:rFonts w:asciiTheme="minorHAnsi" w:hAnsiTheme="minorHAnsi" w:cstheme="minorHAnsi"/>
          </w:rPr>
          <w:t>General</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_Toc357151541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3</w:t>
        </w:r>
        <w:r w:rsidR="004D0F3B" w:rsidRPr="004D0F3B">
          <w:rPr>
            <w:rFonts w:asciiTheme="minorHAnsi" w:hAnsiTheme="minorHAnsi" w:cstheme="minorHAnsi"/>
            <w:webHidden/>
          </w:rPr>
          <w:fldChar w:fldCharType="end"/>
        </w:r>
      </w:hyperlink>
    </w:p>
    <w:p w:rsidR="004D0F3B" w:rsidRPr="004D0F3B" w:rsidRDefault="006620E1" w:rsidP="004D0F3B">
      <w:pPr>
        <w:pStyle w:val="Verzeichnis2"/>
        <w:rPr>
          <w:rFonts w:asciiTheme="minorHAnsi" w:hAnsiTheme="minorHAnsi" w:cstheme="minorHAnsi"/>
          <w:szCs w:val="22"/>
          <w:lang w:bidi="ar-SA"/>
        </w:rPr>
      </w:pPr>
      <w:hyperlink w:anchor="_Toc357151542" w:history="1">
        <w:r w:rsidR="004D0F3B" w:rsidRPr="004D0F3B">
          <w:rPr>
            <w:rStyle w:val="Hyperlink"/>
            <w:rFonts w:asciiTheme="minorHAnsi" w:hAnsiTheme="minorHAnsi" w:cstheme="minorHAnsi"/>
          </w:rPr>
          <w:t>2.2</w:t>
        </w:r>
        <w:r w:rsidR="004D0F3B" w:rsidRPr="004D0F3B">
          <w:rPr>
            <w:rFonts w:asciiTheme="minorHAnsi" w:hAnsiTheme="minorHAnsi" w:cstheme="minorHAnsi"/>
            <w:szCs w:val="22"/>
            <w:lang w:bidi="ar-SA"/>
          </w:rPr>
          <w:tab/>
        </w:r>
        <w:r w:rsidR="004D0F3B" w:rsidRPr="004D0F3B">
          <w:rPr>
            <w:rStyle w:val="Hyperlink"/>
            <w:rFonts w:asciiTheme="minorHAnsi" w:hAnsiTheme="minorHAnsi" w:cstheme="minorHAnsi"/>
          </w:rPr>
          <w:t>Checking the quality management system and adherence to development processes</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_Toc357151542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3</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3" w:history="1">
        <w:r w:rsidR="004D0F3B" w:rsidRPr="004D0F3B">
          <w:rPr>
            <w:rStyle w:val="Hyperlink"/>
            <w:rFonts w:asciiTheme="minorHAnsi" w:hAnsiTheme="minorHAnsi" w:cstheme="minorHAnsi"/>
          </w:rPr>
          <w:t>3</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Evidence of process quality</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_Toc357151543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4</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4" w:history="1">
        <w:r w:rsidR="004D0F3B" w:rsidRPr="004D0F3B">
          <w:rPr>
            <w:rStyle w:val="Hyperlink"/>
            <w:rFonts w:asciiTheme="minorHAnsi" w:hAnsiTheme="minorHAnsi" w:cstheme="minorHAnsi"/>
          </w:rPr>
          <w:t>4</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Software in the context of Functional Safety</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_Toc357151544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5</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5" w:history="1">
        <w:r w:rsidR="004D0F3B" w:rsidRPr="004D0F3B">
          <w:rPr>
            <w:rStyle w:val="Hyperlink"/>
            <w:rFonts w:asciiTheme="minorHAnsi" w:hAnsiTheme="minorHAnsi" w:cstheme="minorHAnsi"/>
          </w:rPr>
          <w:t>5</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Term</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_Toc357151545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5</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6" w:history="1">
        <w:r w:rsidR="004D0F3B" w:rsidRPr="004D0F3B">
          <w:rPr>
            <w:rStyle w:val="Hyperlink"/>
            <w:rFonts w:asciiTheme="minorHAnsi" w:hAnsiTheme="minorHAnsi" w:cstheme="minorHAnsi"/>
          </w:rPr>
          <w:t>6</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Termination</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_Toc357151546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5</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7" w:history="1">
        <w:r w:rsidR="004D0F3B" w:rsidRPr="004D0F3B">
          <w:rPr>
            <w:rStyle w:val="Hyperlink"/>
            <w:rFonts w:asciiTheme="minorHAnsi" w:hAnsiTheme="minorHAnsi" w:cstheme="minorHAnsi"/>
          </w:rPr>
          <w:t>7</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General</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_Toc357151547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5</w:t>
        </w:r>
        <w:r w:rsidR="004D0F3B" w:rsidRPr="004D0F3B">
          <w:rPr>
            <w:rFonts w:asciiTheme="minorHAnsi" w:hAnsiTheme="minorHAnsi" w:cstheme="minorHAnsi"/>
            <w:webHidden/>
          </w:rPr>
          <w:fldChar w:fldCharType="end"/>
        </w:r>
      </w:hyperlink>
    </w:p>
    <w:p w:rsidR="004D0F3B" w:rsidRPr="004D0F3B" w:rsidRDefault="006620E1" w:rsidP="004D0F3B">
      <w:pPr>
        <w:pStyle w:val="Verzeichnis1"/>
        <w:rPr>
          <w:rFonts w:asciiTheme="minorHAnsi" w:hAnsiTheme="minorHAnsi" w:cstheme="minorHAnsi"/>
          <w:b w:val="0"/>
          <w:szCs w:val="22"/>
          <w:lang w:bidi="ar-SA"/>
        </w:rPr>
      </w:pPr>
      <w:hyperlink w:anchor="_Toc357151548" w:history="1">
        <w:r w:rsidR="004D0F3B" w:rsidRPr="004D0F3B">
          <w:rPr>
            <w:rStyle w:val="Hyperlink"/>
            <w:rFonts w:asciiTheme="minorHAnsi" w:hAnsiTheme="minorHAnsi" w:cstheme="minorHAnsi"/>
          </w:rPr>
          <w:t>8</w:t>
        </w:r>
        <w:r w:rsidR="004D0F3B" w:rsidRPr="004D0F3B">
          <w:rPr>
            <w:rFonts w:asciiTheme="minorHAnsi" w:hAnsiTheme="minorHAnsi" w:cstheme="minorHAnsi"/>
            <w:b w:val="0"/>
            <w:szCs w:val="22"/>
            <w:lang w:bidi="ar-SA"/>
          </w:rPr>
          <w:tab/>
        </w:r>
        <w:r w:rsidR="004D0F3B" w:rsidRPr="004D0F3B">
          <w:rPr>
            <w:rStyle w:val="Hyperlink"/>
            <w:rFonts w:asciiTheme="minorHAnsi" w:hAnsiTheme="minorHAnsi" w:cstheme="minorHAnsi"/>
          </w:rPr>
          <w:t>Appendices</w:t>
        </w:r>
        <w:r w:rsidR="004D0F3B" w:rsidRPr="004D0F3B">
          <w:rPr>
            <w:rFonts w:asciiTheme="minorHAnsi" w:hAnsiTheme="minorHAnsi" w:cstheme="minorHAnsi"/>
            <w:webHidden/>
          </w:rPr>
          <w:tab/>
        </w:r>
        <w:r w:rsidR="004D0F3B" w:rsidRPr="004D0F3B">
          <w:rPr>
            <w:rFonts w:asciiTheme="minorHAnsi" w:hAnsiTheme="minorHAnsi" w:cstheme="minorHAnsi"/>
            <w:webHidden/>
          </w:rPr>
          <w:fldChar w:fldCharType="begin"/>
        </w:r>
        <w:r w:rsidR="004D0F3B" w:rsidRPr="004D0F3B">
          <w:rPr>
            <w:rFonts w:asciiTheme="minorHAnsi" w:hAnsiTheme="minorHAnsi" w:cstheme="minorHAnsi"/>
            <w:webHidden/>
          </w:rPr>
          <w:instrText xml:space="preserve"> PAGEREF _Toc357151548 \h </w:instrText>
        </w:r>
        <w:r w:rsidR="004D0F3B" w:rsidRPr="004D0F3B">
          <w:rPr>
            <w:rFonts w:asciiTheme="minorHAnsi" w:hAnsiTheme="minorHAnsi" w:cstheme="minorHAnsi"/>
            <w:webHidden/>
          </w:rPr>
        </w:r>
        <w:r w:rsidR="004D0F3B" w:rsidRPr="004D0F3B">
          <w:rPr>
            <w:rFonts w:asciiTheme="minorHAnsi" w:hAnsiTheme="minorHAnsi" w:cstheme="minorHAnsi"/>
            <w:webHidden/>
          </w:rPr>
          <w:fldChar w:fldCharType="separate"/>
        </w:r>
        <w:r>
          <w:rPr>
            <w:rFonts w:asciiTheme="minorHAnsi" w:hAnsiTheme="minorHAnsi" w:cstheme="minorHAnsi"/>
            <w:webHidden/>
          </w:rPr>
          <w:t>6</w:t>
        </w:r>
        <w:r w:rsidR="004D0F3B" w:rsidRPr="004D0F3B">
          <w:rPr>
            <w:rFonts w:asciiTheme="minorHAnsi" w:hAnsiTheme="minorHAnsi" w:cstheme="minorHAnsi"/>
            <w:webHidden/>
          </w:rPr>
          <w:fldChar w:fldCharType="end"/>
        </w:r>
      </w:hyperlink>
    </w:p>
    <w:p w:rsidR="004D0F3B" w:rsidRPr="004D0F3B" w:rsidRDefault="004D0F3B" w:rsidP="004D0F3B">
      <w:pPr>
        <w:pStyle w:val="StandardZentriert"/>
        <w:jc w:val="left"/>
        <w:rPr>
          <w:rFonts w:asciiTheme="minorHAnsi" w:hAnsiTheme="minorHAnsi" w:cstheme="minorHAnsi"/>
        </w:rPr>
      </w:pPr>
      <w:r w:rsidRPr="004D0F3B">
        <w:rPr>
          <w:rFonts w:asciiTheme="minorHAnsi" w:hAnsiTheme="minorHAnsi" w:cstheme="minorHAnsi"/>
          <w:sz w:val="24"/>
          <w:szCs w:val="24"/>
        </w:rPr>
        <w:fldChar w:fldCharType="end"/>
      </w:r>
    </w:p>
    <w:p w:rsidR="004D0F3B" w:rsidRPr="004D0F3B" w:rsidRDefault="004D0F3B" w:rsidP="004D0F3B">
      <w:pPr>
        <w:pStyle w:val="berschrift1"/>
        <w:keepNext/>
        <w:tabs>
          <w:tab w:val="left" w:pos="540"/>
        </w:tabs>
        <w:spacing w:after="240"/>
        <w:ind w:left="0" w:firstLine="0"/>
        <w:rPr>
          <w:rFonts w:cstheme="minorHAnsi"/>
          <w:sz w:val="24"/>
        </w:rPr>
      </w:pPr>
      <w:r w:rsidRPr="004D0F3B">
        <w:rPr>
          <w:rFonts w:cstheme="minorHAnsi"/>
          <w:sz w:val="22"/>
        </w:rPr>
        <w:br w:type="page"/>
      </w:r>
      <w:bookmarkStart w:id="2" w:name="_Toc357151539"/>
      <w:r w:rsidRPr="004D0F3B">
        <w:rPr>
          <w:rFonts w:cstheme="minorHAnsi"/>
          <w:sz w:val="24"/>
        </w:rPr>
        <w:lastRenderedPageBreak/>
        <w:t>Supplier's responsibility for the quality of his products and services</w:t>
      </w:r>
      <w:bookmarkEnd w:id="2"/>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supplier is responsible for the faultless functionality and reliability of the software provided by him, in accordance with the technical documents agreed in writing. The supplier must be aware of the requirements placed on the software and their areas of application at Schaeffler. He must check that the documents are complete and correct and, where necessary, request further information from Schaeffler. </w:t>
      </w:r>
    </w:p>
    <w:p w:rsidR="004D0F3B" w:rsidRPr="004D0F3B" w:rsidRDefault="004D0F3B" w:rsidP="004D0F3B">
      <w:pPr>
        <w:pStyle w:val="StandardBlock"/>
        <w:rPr>
          <w:rFonts w:asciiTheme="minorHAnsi" w:hAnsiTheme="minorHAnsi" w:cstheme="minorHAnsi"/>
          <w:color w:val="000000"/>
        </w:rPr>
      </w:pPr>
      <w:r w:rsidRPr="004D0F3B">
        <w:rPr>
          <w:rFonts w:asciiTheme="minorHAnsi" w:hAnsiTheme="minorHAnsi" w:cstheme="minorHAnsi"/>
        </w:rPr>
        <w:t>The quality strategy of the supplier must be oriented towards continuous improvement of his processes and services, in order to achieve the objective of "zero defects".</w:t>
      </w:r>
    </w:p>
    <w:p w:rsidR="004D0F3B" w:rsidRPr="004D0F3B" w:rsidRDefault="004D0F3B" w:rsidP="004D0F3B">
      <w:pPr>
        <w:pStyle w:val="StandardBlock"/>
        <w:rPr>
          <w:rFonts w:asciiTheme="minorHAnsi" w:hAnsiTheme="minorHAnsi" w:cstheme="minorHAnsi"/>
          <w:color w:val="000000"/>
        </w:rPr>
      </w:pPr>
      <w:r w:rsidRPr="004D0F3B">
        <w:rPr>
          <w:rFonts w:asciiTheme="minorHAnsi" w:hAnsiTheme="minorHAnsi" w:cstheme="minorHAnsi"/>
        </w:rPr>
        <w:t xml:space="preserve">If the supplier places orders with subcontractors, he is under obligation to implement the requirements of this </w:t>
      </w:r>
      <w:r w:rsidRPr="004D0F3B">
        <w:rPr>
          <w:rFonts w:asciiTheme="minorHAnsi" w:hAnsiTheme="minorHAnsi" w:cstheme="minorHAnsi"/>
          <w:i/>
          <w:iCs/>
          <w:color w:val="000000"/>
        </w:rPr>
        <w:t>Quality Assurance Agreement with Software Suppliers (QSV)</w:t>
      </w:r>
      <w:r w:rsidRPr="004D0F3B">
        <w:rPr>
          <w:rFonts w:asciiTheme="minorHAnsi" w:hAnsiTheme="minorHAnsi" w:cstheme="minorHAnsi"/>
          <w:color w:val="000000"/>
        </w:rPr>
        <w:t xml:space="preserve"> in relation to his subcontractors.</w:t>
      </w:r>
    </w:p>
    <w:p w:rsidR="004D0F3B" w:rsidRPr="004D0F3B" w:rsidRDefault="004D0F3B" w:rsidP="004D0F3B">
      <w:pPr>
        <w:pStyle w:val="StandardBlock"/>
        <w:rPr>
          <w:rFonts w:asciiTheme="minorHAnsi" w:hAnsiTheme="minorHAnsi" w:cstheme="minorHAnsi"/>
          <w:color w:val="000000"/>
        </w:rPr>
      </w:pPr>
      <w:r w:rsidRPr="004D0F3B">
        <w:rPr>
          <w:rFonts w:asciiTheme="minorHAnsi" w:hAnsiTheme="minorHAnsi" w:cstheme="minorHAnsi"/>
          <w:color w:val="000000"/>
        </w:rPr>
        <w:t xml:space="preserve">The supplier also undertakes to meet promised deadlines, e.g. for delivery of intermediate results, test evidence, status reports, patches.  </w:t>
      </w:r>
    </w:p>
    <w:p w:rsidR="004D0F3B" w:rsidRPr="004D0F3B" w:rsidRDefault="004D0F3B" w:rsidP="004D0F3B">
      <w:pPr>
        <w:pStyle w:val="berschrift1"/>
        <w:keepNext/>
        <w:tabs>
          <w:tab w:val="left" w:pos="540"/>
          <w:tab w:val="left" w:pos="567"/>
        </w:tabs>
        <w:spacing w:before="360" w:after="0"/>
        <w:ind w:left="0" w:firstLine="0"/>
        <w:rPr>
          <w:rFonts w:cstheme="minorHAnsi"/>
          <w:sz w:val="24"/>
        </w:rPr>
      </w:pPr>
      <w:bookmarkStart w:id="3" w:name="_Toc213213481"/>
      <w:bookmarkStart w:id="4" w:name="_Toc357151540"/>
      <w:bookmarkEnd w:id="3"/>
      <w:r w:rsidRPr="004D0F3B">
        <w:rPr>
          <w:rFonts w:cstheme="minorHAnsi"/>
          <w:sz w:val="24"/>
        </w:rPr>
        <w:t>Quality management system</w:t>
      </w:r>
      <w:bookmarkEnd w:id="4"/>
    </w:p>
    <w:p w:rsidR="004D0F3B" w:rsidRPr="004D0F3B" w:rsidRDefault="004D0F3B" w:rsidP="004D0F3B">
      <w:pPr>
        <w:pStyle w:val="berschrift2"/>
        <w:keepNext/>
        <w:tabs>
          <w:tab w:val="clear" w:pos="1072"/>
          <w:tab w:val="left" w:pos="540"/>
        </w:tabs>
        <w:spacing w:before="320" w:after="40" w:line="240" w:lineRule="auto"/>
        <w:ind w:left="0" w:firstLine="0"/>
        <w:rPr>
          <w:rFonts w:cstheme="minorHAnsi"/>
          <w:sz w:val="22"/>
          <w:szCs w:val="22"/>
        </w:rPr>
      </w:pPr>
      <w:bookmarkStart w:id="5" w:name="_Toc357151541"/>
      <w:r w:rsidRPr="004D0F3B">
        <w:rPr>
          <w:rFonts w:cstheme="minorHAnsi"/>
          <w:sz w:val="22"/>
          <w:szCs w:val="22"/>
        </w:rPr>
        <w:t>General</w:t>
      </w:r>
      <w:bookmarkEnd w:id="5"/>
    </w:p>
    <w:p w:rsidR="004D0F3B" w:rsidRPr="004D0F3B" w:rsidRDefault="004D0F3B" w:rsidP="004D0F3B">
      <w:pPr>
        <w:pStyle w:val="StandardBlock"/>
        <w:rPr>
          <w:rFonts w:asciiTheme="minorHAnsi" w:hAnsiTheme="minorHAnsi" w:cstheme="minorHAnsi"/>
          <w:color w:val="000000"/>
        </w:rPr>
      </w:pPr>
      <w:r w:rsidRPr="004D0F3B">
        <w:rPr>
          <w:rFonts w:asciiTheme="minorHAnsi" w:hAnsiTheme="minorHAnsi" w:cstheme="minorHAnsi"/>
          <w:color w:val="000000"/>
        </w:rPr>
        <w:t>The supplier must ensure the fault</w:t>
      </w:r>
      <w:r w:rsidRPr="004D0F3B">
        <w:rPr>
          <w:rFonts w:asciiTheme="minorHAnsi" w:hAnsiTheme="minorHAnsi" w:cstheme="minorHAnsi"/>
        </w:rPr>
        <w:t xml:space="preserve">less functionality and reliability of his software in relation to Schaeffler </w:t>
      </w:r>
      <w:proofErr w:type="gramStart"/>
      <w:r w:rsidRPr="004D0F3B">
        <w:rPr>
          <w:rFonts w:asciiTheme="minorHAnsi" w:hAnsiTheme="minorHAnsi" w:cstheme="minorHAnsi"/>
        </w:rPr>
        <w:t>through the use of</w:t>
      </w:r>
      <w:proofErr w:type="gramEnd"/>
      <w:r w:rsidRPr="004D0F3B">
        <w:rPr>
          <w:rFonts w:asciiTheme="minorHAnsi" w:hAnsiTheme="minorHAnsi" w:cstheme="minorHAnsi"/>
        </w:rPr>
        <w:t xml:space="preserve"> a suitable quality management system which incorporates the requirements of Automotive SPICE and ISO/IEC 15504 – Part 5. The effectiveness of his </w:t>
      </w:r>
      <w:r w:rsidRPr="004D0F3B">
        <w:rPr>
          <w:rFonts w:asciiTheme="minorHAnsi" w:hAnsiTheme="minorHAnsi" w:cstheme="minorHAnsi"/>
          <w:color w:val="000000"/>
        </w:rPr>
        <w:t>quality management system must be verified by means of regular inspections.</w:t>
      </w:r>
    </w:p>
    <w:p w:rsidR="004D0F3B" w:rsidRPr="004D0F3B" w:rsidRDefault="004D0F3B" w:rsidP="004D0F3B">
      <w:pPr>
        <w:ind w:left="142"/>
        <w:rPr>
          <w:rFonts w:cstheme="minorHAnsi"/>
          <w:sz w:val="2"/>
        </w:rPr>
      </w:pPr>
    </w:p>
    <w:p w:rsidR="004D0F3B" w:rsidRPr="004D0F3B" w:rsidRDefault="004D0F3B" w:rsidP="004D0F3B">
      <w:pPr>
        <w:pStyle w:val="berschrift2"/>
        <w:keepNext/>
        <w:tabs>
          <w:tab w:val="clear" w:pos="1072"/>
          <w:tab w:val="left" w:pos="540"/>
        </w:tabs>
        <w:spacing w:before="320" w:after="40" w:line="240" w:lineRule="auto"/>
        <w:ind w:left="0" w:firstLine="0"/>
        <w:rPr>
          <w:rFonts w:cstheme="minorHAnsi"/>
          <w:sz w:val="22"/>
          <w:szCs w:val="22"/>
        </w:rPr>
      </w:pPr>
      <w:bookmarkStart w:id="6" w:name="_Toc357151542"/>
      <w:r w:rsidRPr="004D0F3B">
        <w:rPr>
          <w:rFonts w:cstheme="minorHAnsi"/>
          <w:sz w:val="22"/>
          <w:szCs w:val="22"/>
        </w:rPr>
        <w:t>Checking the quality management system and adherence to development processes</w:t>
      </w:r>
      <w:bookmarkEnd w:id="6"/>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Schaeffler has the right to check compliance with Schaeffler requirements at the supplier's premises and, where necessary, with a person appointed by the end customer, during the handling of the project or if quality deficiencies or system weaknesses are identified. Depending on the situation, this check can be carried out in the form of a technical discussion or process assessment (e.g. in accordance with Automotive SPICE or CMMI) and is agreed with the supplier in good time before its planned implementation.</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supplier shall grant Schaeffler access to the relevant areas and permit viewing of the corresponding documents, in accordance with the necessary non-disclosure agreements. </w:t>
      </w:r>
    </w:p>
    <w:p w:rsidR="004D0F3B" w:rsidRPr="004D0F3B" w:rsidRDefault="004D0F3B" w:rsidP="004D0F3B">
      <w:pPr>
        <w:pStyle w:val="berschrift1"/>
        <w:keepNext/>
        <w:keepLines/>
        <w:pageBreakBefore/>
        <w:tabs>
          <w:tab w:val="left" w:pos="540"/>
          <w:tab w:val="left" w:pos="720"/>
        </w:tabs>
        <w:spacing w:before="360" w:after="240"/>
        <w:ind w:left="0" w:firstLine="0"/>
        <w:rPr>
          <w:rFonts w:cstheme="minorHAnsi"/>
          <w:sz w:val="24"/>
        </w:rPr>
      </w:pPr>
      <w:bookmarkStart w:id="7" w:name="_Toc167692042"/>
      <w:bookmarkStart w:id="8" w:name="_Toc357151543"/>
      <w:bookmarkEnd w:id="7"/>
      <w:r w:rsidRPr="004D0F3B">
        <w:rPr>
          <w:rFonts w:cstheme="minorHAnsi"/>
          <w:sz w:val="24"/>
        </w:rPr>
        <w:lastRenderedPageBreak/>
        <w:t>Evidence of process quality</w:t>
      </w:r>
      <w:bookmarkEnd w:id="8"/>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supplier should use process assessments as a central tool in the continuous improvement of processes. The purpose of regular process assessments is to verify the quality capability of software development activities. Any subcontractors must also be included in the overall analysis of the process chain. </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szCs w:val="22"/>
        </w:rPr>
        <w:t xml:space="preserve">In order that potential risks can be identified at an early stage and counteracted with appropriate corrective actions, Schaeffler also rates the suppliers with the aid of a process assessment, which the supplier must allow for in the planning of the project. </w:t>
      </w:r>
      <w:r w:rsidRPr="004D0F3B">
        <w:rPr>
          <w:rFonts w:asciiTheme="minorHAnsi" w:hAnsiTheme="minorHAnsi" w:cstheme="minorHAnsi"/>
        </w:rPr>
        <w:t xml:space="preserve">The assessment is subject to a completed development cycle (release). </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In order to permit a systematic and reproducible analysis, the process reference model from Automotive SPICE</w:t>
      </w:r>
      <w:r w:rsidRPr="004D0F3B">
        <w:rPr>
          <w:rFonts w:asciiTheme="minorHAnsi" w:hAnsiTheme="minorHAnsi" w:cstheme="minorHAnsi"/>
          <w:vertAlign w:val="superscript"/>
        </w:rPr>
        <w:t>TM</w:t>
      </w:r>
      <w:r w:rsidRPr="004D0F3B">
        <w:rPr>
          <w:rFonts w:asciiTheme="minorHAnsi" w:hAnsiTheme="minorHAnsi" w:cstheme="minorHAnsi"/>
        </w:rPr>
        <w:t xml:space="preserve"> is used for Automotive suppliers and the process reference model from ISO/IEC 15504 Part 5 is used for suppliers from all other sectors. During a process assessment conducted by Schaeffler at the supplier's premises, or a self-assessment conducted by the supplier, the processes listed in the following table must be rated: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87"/>
      </w:tblGrid>
      <w:tr w:rsidR="004D0F3B" w:rsidRPr="004D0F3B" w:rsidTr="00B61967">
        <w:tc>
          <w:tcPr>
            <w:tcW w:w="4820" w:type="dxa"/>
            <w:shd w:val="clear" w:color="auto" w:fill="BFBFBF"/>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rPr>
              <w:t>Automotive (in accordance with Automotive SPICE PAM</w:t>
            </w:r>
            <w:r w:rsidRPr="004D0F3B">
              <w:rPr>
                <w:rStyle w:val="Funotenzeichen"/>
                <w:rFonts w:asciiTheme="minorHAnsi" w:hAnsiTheme="minorHAnsi" w:cstheme="minorHAnsi"/>
              </w:rPr>
              <w:footnoteReference w:id="1"/>
            </w:r>
            <w:r w:rsidRPr="004D0F3B">
              <w:rPr>
                <w:rFonts w:asciiTheme="minorHAnsi" w:hAnsiTheme="minorHAnsi" w:cstheme="minorHAnsi"/>
              </w:rPr>
              <w:t>)</w:t>
            </w:r>
          </w:p>
        </w:tc>
        <w:tc>
          <w:tcPr>
            <w:tcW w:w="4819" w:type="dxa"/>
            <w:shd w:val="clear" w:color="auto" w:fill="BFBFBF"/>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rPr>
              <w:t>Other sectors (in accordance with ISO/IEC 15504-5</w:t>
            </w:r>
            <w:r w:rsidRPr="004D0F3B">
              <w:rPr>
                <w:rStyle w:val="Funotenzeichen"/>
                <w:rFonts w:asciiTheme="minorHAnsi" w:hAnsiTheme="minorHAnsi" w:cstheme="minorHAnsi"/>
              </w:rPr>
              <w:footnoteReference w:id="2"/>
            </w:r>
            <w:r w:rsidRPr="004D0F3B">
              <w:rPr>
                <w:rFonts w:asciiTheme="minorHAnsi" w:hAnsiTheme="minorHAnsi" w:cstheme="minorHAnsi"/>
              </w:rPr>
              <w:t>)</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 xml:space="preserve">MAN.3 </w:t>
            </w:r>
            <w:proofErr w:type="spellStart"/>
            <w:r w:rsidRPr="004D0F3B">
              <w:rPr>
                <w:rFonts w:asciiTheme="minorHAnsi" w:hAnsiTheme="minorHAnsi" w:cstheme="minorHAnsi"/>
                <w:color w:val="000000"/>
                <w:sz w:val="20"/>
              </w:rPr>
              <w:t>Projektmanagement</w:t>
            </w:r>
            <w:proofErr w:type="spellEnd"/>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MAN.3 Project Management</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 xml:space="preserve">ACQ.4 </w:t>
            </w:r>
            <w:proofErr w:type="spellStart"/>
            <w:r w:rsidRPr="004D0F3B">
              <w:rPr>
                <w:rFonts w:asciiTheme="minorHAnsi" w:hAnsiTheme="minorHAnsi" w:cstheme="minorHAnsi"/>
                <w:color w:val="000000"/>
                <w:sz w:val="20"/>
              </w:rPr>
              <w:t>Lieferanten</w:t>
            </w:r>
            <w:proofErr w:type="spellEnd"/>
            <w:r w:rsidRPr="004D0F3B">
              <w:rPr>
                <w:rFonts w:asciiTheme="minorHAnsi" w:hAnsiTheme="minorHAnsi" w:cstheme="minorHAnsi"/>
                <w:color w:val="000000"/>
                <w:sz w:val="20"/>
              </w:rPr>
              <w:t>-Monitoring</w:t>
            </w:r>
            <w:bookmarkStart w:id="9" w:name="_Ref346285962"/>
            <w:r w:rsidRPr="004D0F3B">
              <w:rPr>
                <w:rStyle w:val="Funotenzeichen"/>
                <w:rFonts w:asciiTheme="minorHAnsi" w:hAnsiTheme="minorHAnsi" w:cstheme="minorHAnsi"/>
                <w:color w:val="000000"/>
                <w:sz w:val="20"/>
              </w:rPr>
              <w:footnoteReference w:id="3"/>
            </w:r>
            <w:bookmarkEnd w:id="9"/>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ACQ.4 Supplier Monitoring</w:t>
            </w:r>
            <w:r w:rsidRPr="004D0F3B">
              <w:rPr>
                <w:rFonts w:asciiTheme="minorHAnsi" w:hAnsiTheme="minorHAnsi" w:cstheme="minorHAnsi"/>
              </w:rPr>
              <w:fldChar w:fldCharType="begin"/>
            </w:r>
            <w:r w:rsidRPr="004D0F3B">
              <w:rPr>
                <w:rFonts w:asciiTheme="minorHAnsi" w:hAnsiTheme="minorHAnsi" w:cstheme="minorHAnsi"/>
              </w:rPr>
              <w:instrText xml:space="preserve"> NOTEREF _Ref346285962 \h  \* MERGEFORMAT </w:instrText>
            </w:r>
            <w:r w:rsidRPr="004D0F3B">
              <w:rPr>
                <w:rFonts w:asciiTheme="minorHAnsi" w:hAnsiTheme="minorHAnsi" w:cstheme="minorHAnsi"/>
              </w:rPr>
            </w:r>
            <w:r w:rsidRPr="004D0F3B">
              <w:rPr>
                <w:rFonts w:asciiTheme="minorHAnsi" w:hAnsiTheme="minorHAnsi" w:cstheme="minorHAnsi"/>
              </w:rPr>
              <w:fldChar w:fldCharType="separate"/>
            </w:r>
            <w:r w:rsidRPr="004D0F3B">
              <w:rPr>
                <w:rFonts w:asciiTheme="minorHAnsi" w:hAnsiTheme="minorHAnsi" w:cstheme="minorHAnsi"/>
                <w:sz w:val="20"/>
                <w:vertAlign w:val="superscript"/>
              </w:rPr>
              <w:t>3</w:t>
            </w:r>
            <w:r w:rsidRPr="004D0F3B">
              <w:rPr>
                <w:rFonts w:asciiTheme="minorHAnsi" w:hAnsiTheme="minorHAnsi" w:cstheme="minorHAnsi"/>
              </w:rPr>
              <w:fldChar w:fldCharType="end"/>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ENG.2 Systemanforderungsanalyse*</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ENG.2 System Requirements Analysis*</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ENG.3 Entwurf der Systemarchitektur*</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ENG.3 System Architectural Design*</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ENG.4 Softwareanforderungsanalyse</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ENG.4 Software Requirements Analysis</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ENG.5 Entwurf des Softwaredesigns</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ENG.5 Software Design</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ENG.6 Softwareerstellung</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ENG.6 Software Construction</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ENG.7 Softwareintegrationstest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ENG.7 Software Integration</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ENG.8 Softwaretest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ENG.8 Software Testing</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ENG.9 Systemintegrationstest*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ENG.9 System Integration*</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ENG.10 Systemtest*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ENG.10 System Testing*</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SUP.1 Qualitätssicherung</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SUP.1 Quality Assurance</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SUP.8 Konfigurationsmanagement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SUP.2 Configuration Management</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SUP.9 Problemlösungsmanagement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SUP.9 Problem Resolution Management</w:t>
            </w:r>
          </w:p>
        </w:tc>
      </w:tr>
      <w:tr w:rsidR="004D0F3B" w:rsidRPr="004D0F3B" w:rsidTr="00B61967">
        <w:tc>
          <w:tcPr>
            <w:tcW w:w="4820" w:type="dxa"/>
            <w:vAlign w:val="bottom"/>
          </w:tcPr>
          <w:p w:rsidR="004D0F3B" w:rsidRPr="004D0F3B" w:rsidRDefault="004D0F3B" w:rsidP="00B61967">
            <w:pPr>
              <w:pStyle w:val="StandardBlock"/>
              <w:rPr>
                <w:rFonts w:asciiTheme="minorHAnsi" w:hAnsiTheme="minorHAnsi" w:cstheme="minorHAnsi"/>
              </w:rPr>
            </w:pPr>
            <w:r w:rsidRPr="004D0F3B">
              <w:rPr>
                <w:rFonts w:asciiTheme="minorHAnsi" w:hAnsiTheme="minorHAnsi" w:cstheme="minorHAnsi"/>
                <w:color w:val="000000"/>
                <w:sz w:val="20"/>
              </w:rPr>
              <w:t>SUP.10 Änderungsmanagement</w:t>
            </w:r>
          </w:p>
        </w:tc>
        <w:tc>
          <w:tcPr>
            <w:tcW w:w="4819" w:type="dxa"/>
          </w:tcPr>
          <w:p w:rsidR="004D0F3B" w:rsidRPr="004D0F3B" w:rsidRDefault="004D0F3B" w:rsidP="00B61967">
            <w:pPr>
              <w:pStyle w:val="StandardBlock"/>
              <w:rPr>
                <w:rFonts w:asciiTheme="minorHAnsi" w:hAnsiTheme="minorHAnsi" w:cstheme="minorHAnsi"/>
                <w:sz w:val="20"/>
              </w:rPr>
            </w:pPr>
            <w:r w:rsidRPr="004D0F3B">
              <w:rPr>
                <w:rFonts w:asciiTheme="minorHAnsi" w:hAnsiTheme="minorHAnsi" w:cstheme="minorHAnsi"/>
                <w:sz w:val="20"/>
              </w:rPr>
              <w:t>SUP.10 Change Request Management</w:t>
            </w:r>
          </w:p>
        </w:tc>
      </w:tr>
    </w:tbl>
    <w:p w:rsidR="004D0F3B" w:rsidRPr="004D0F3B" w:rsidRDefault="004D0F3B" w:rsidP="004D0F3B">
      <w:pPr>
        <w:pStyle w:val="StandardBlock"/>
        <w:jc w:val="left"/>
        <w:rPr>
          <w:rFonts w:asciiTheme="minorHAnsi" w:hAnsiTheme="minorHAnsi" w:cstheme="minorHAnsi"/>
        </w:rPr>
      </w:pPr>
      <w:r w:rsidRPr="004D0F3B">
        <w:rPr>
          <w:rFonts w:asciiTheme="minorHAnsi" w:hAnsiTheme="minorHAnsi" w:cstheme="minorHAnsi"/>
        </w:rPr>
        <w:lastRenderedPageBreak/>
        <w:t xml:space="preserve">The supplier classification is conducted </w:t>
      </w:r>
      <w:proofErr w:type="gramStart"/>
      <w:r w:rsidRPr="004D0F3B">
        <w:rPr>
          <w:rFonts w:asciiTheme="minorHAnsi" w:hAnsiTheme="minorHAnsi" w:cstheme="minorHAnsi"/>
        </w:rPr>
        <w:t>on the basis of</w:t>
      </w:r>
      <w:proofErr w:type="gramEnd"/>
      <w:r w:rsidRPr="004D0F3B">
        <w:rPr>
          <w:rFonts w:asciiTheme="minorHAnsi" w:hAnsiTheme="minorHAnsi" w:cstheme="minorHAnsi"/>
        </w:rPr>
        <w:t xml:space="preserve"> these processes for assessment in accordance with Appendix 1. </w:t>
      </w:r>
      <w:r w:rsidRPr="004D0F3B">
        <w:rPr>
          <w:rFonts w:asciiTheme="minorHAnsi" w:hAnsiTheme="minorHAnsi" w:cstheme="minorHAnsi"/>
        </w:rPr>
        <w:br/>
        <w:t xml:space="preserve">The results of the process assessments are to be presented in accordance with Appendix 2. </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In the event of an A classification, the identified discrepancies must be remedied autonomously.</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In the event of a B or C classification, the supplier must submit a program for improvement to the Project responsible person from Schaeffler for approval, complete with measures, responsible persons and dates. The supplier must also conduct a self-assessment, to verify the effectiveness of the measures taken, and communicate the results of the self-assessment to Schaeffler.</w:t>
      </w:r>
    </w:p>
    <w:p w:rsidR="004D0F3B" w:rsidRPr="004D0F3B" w:rsidRDefault="004D0F3B" w:rsidP="004D0F3B">
      <w:pPr>
        <w:pStyle w:val="berschrift1"/>
        <w:keepNext/>
        <w:tabs>
          <w:tab w:val="num" w:pos="360"/>
          <w:tab w:val="left" w:pos="567"/>
        </w:tabs>
        <w:spacing w:before="360" w:after="240"/>
        <w:ind w:left="0" w:firstLine="0"/>
        <w:rPr>
          <w:rFonts w:cstheme="minorHAnsi"/>
          <w:sz w:val="24"/>
        </w:rPr>
      </w:pPr>
      <w:bookmarkStart w:id="10" w:name="_Toc346266428"/>
      <w:bookmarkStart w:id="11" w:name="_Toc346266429"/>
      <w:bookmarkStart w:id="12" w:name="_Toc346266430"/>
      <w:bookmarkStart w:id="13" w:name="_Toc346266431"/>
      <w:bookmarkStart w:id="14" w:name="_Toc346266432"/>
      <w:bookmarkStart w:id="15" w:name="_Toc346266433"/>
      <w:bookmarkStart w:id="16" w:name="_Toc346266434"/>
      <w:bookmarkStart w:id="17" w:name="_Toc346266435"/>
      <w:bookmarkStart w:id="18" w:name="_Toc346266436"/>
      <w:bookmarkStart w:id="19" w:name="_Toc345685932"/>
      <w:bookmarkStart w:id="20" w:name="_Toc346266437"/>
      <w:bookmarkStart w:id="21" w:name="_Toc345685933"/>
      <w:bookmarkStart w:id="22" w:name="_Toc346266438"/>
      <w:bookmarkStart w:id="23" w:name="_Toc345685934"/>
      <w:bookmarkStart w:id="24" w:name="_Toc346266439"/>
      <w:bookmarkStart w:id="25" w:name="_Toc345685935"/>
      <w:bookmarkStart w:id="26" w:name="_Toc346266440"/>
      <w:bookmarkStart w:id="27" w:name="_Toc219523603"/>
      <w:bookmarkStart w:id="28" w:name="_Toc345685936"/>
      <w:bookmarkStart w:id="29" w:name="_Toc346266441"/>
      <w:bookmarkStart w:id="30" w:name="_Toc345685937"/>
      <w:bookmarkStart w:id="31" w:name="_Toc346266442"/>
      <w:bookmarkStart w:id="32" w:name="_Toc345680043"/>
      <w:bookmarkStart w:id="33" w:name="_Toc345685938"/>
      <w:bookmarkStart w:id="34" w:name="_Toc346266443"/>
      <w:bookmarkStart w:id="35" w:name="_Toc345680044"/>
      <w:bookmarkStart w:id="36" w:name="_Toc345685939"/>
      <w:bookmarkStart w:id="37" w:name="_Toc346266444"/>
      <w:bookmarkStart w:id="38" w:name="_Toc345685940"/>
      <w:bookmarkStart w:id="39" w:name="_Toc346266445"/>
      <w:bookmarkStart w:id="40" w:name="_Toc345685941"/>
      <w:bookmarkStart w:id="41" w:name="_Toc346266446"/>
      <w:bookmarkStart w:id="42" w:name="_Toc345685942"/>
      <w:bookmarkStart w:id="43" w:name="_Toc346266447"/>
      <w:bookmarkStart w:id="44" w:name="_Toc345685943"/>
      <w:bookmarkStart w:id="45" w:name="_Toc346266448"/>
      <w:bookmarkStart w:id="46" w:name="_Toc213213493"/>
      <w:bookmarkStart w:id="47" w:name="_Toc345680046"/>
      <w:bookmarkStart w:id="48" w:name="_Toc345685944"/>
      <w:bookmarkStart w:id="49" w:name="_Toc346266449"/>
      <w:bookmarkStart w:id="50" w:name="_Toc345680047"/>
      <w:bookmarkStart w:id="51" w:name="_Toc345685945"/>
      <w:bookmarkStart w:id="52" w:name="_Toc346266450"/>
      <w:bookmarkStart w:id="53" w:name="_Toc345685946"/>
      <w:bookmarkStart w:id="54" w:name="_Toc346266451"/>
      <w:bookmarkStart w:id="55" w:name="_Toc345685947"/>
      <w:bookmarkStart w:id="56" w:name="_Toc346266452"/>
      <w:bookmarkStart w:id="57" w:name="_Toc345685948"/>
      <w:bookmarkStart w:id="58" w:name="_Toc346266453"/>
      <w:bookmarkStart w:id="59" w:name="_Toc345685949"/>
      <w:bookmarkStart w:id="60" w:name="_Toc346266454"/>
      <w:bookmarkStart w:id="61" w:name="_Toc345685950"/>
      <w:bookmarkStart w:id="62" w:name="_Toc346266455"/>
      <w:bookmarkStart w:id="63" w:name="_Toc213213498"/>
      <w:bookmarkStart w:id="64" w:name="_Toc345685952"/>
      <w:bookmarkStart w:id="65" w:name="_Toc346266457"/>
      <w:bookmarkStart w:id="66" w:name="_Toc345685953"/>
      <w:bookmarkStart w:id="67" w:name="_Toc346266458"/>
      <w:bookmarkStart w:id="68" w:name="_Toc345685954"/>
      <w:bookmarkStart w:id="69" w:name="_Toc346266459"/>
      <w:bookmarkStart w:id="70" w:name="_Toc345685955"/>
      <w:bookmarkStart w:id="71" w:name="_Toc346266460"/>
      <w:bookmarkStart w:id="72" w:name="_Toc345685956"/>
      <w:bookmarkStart w:id="73" w:name="_Toc346266461"/>
      <w:bookmarkStart w:id="74" w:name="_Toc345685957"/>
      <w:bookmarkStart w:id="75" w:name="_Toc346266462"/>
      <w:bookmarkStart w:id="76" w:name="_Toc345685958"/>
      <w:bookmarkStart w:id="77" w:name="_Toc346266463"/>
      <w:bookmarkStart w:id="78" w:name="_Toc345685959"/>
      <w:bookmarkStart w:id="79" w:name="_Toc346266464"/>
      <w:bookmarkStart w:id="80" w:name="_Toc345685960"/>
      <w:bookmarkStart w:id="81" w:name="_Toc346266465"/>
      <w:bookmarkStart w:id="82" w:name="_Toc345685961"/>
      <w:bookmarkStart w:id="83" w:name="_Toc346266466"/>
      <w:bookmarkStart w:id="84" w:name="_Toc345685962"/>
      <w:bookmarkStart w:id="85" w:name="_Toc346266467"/>
      <w:bookmarkStart w:id="86" w:name="_Toc213213500"/>
      <w:bookmarkStart w:id="87" w:name="_Toc213213501"/>
      <w:bookmarkStart w:id="88" w:name="_Toc345680051"/>
      <w:bookmarkStart w:id="89" w:name="_Toc345685963"/>
      <w:bookmarkStart w:id="90" w:name="_Toc346266468"/>
      <w:bookmarkStart w:id="91" w:name="_Toc345680052"/>
      <w:bookmarkStart w:id="92" w:name="_Toc345685964"/>
      <w:bookmarkStart w:id="93" w:name="_Toc346266469"/>
      <w:bookmarkStart w:id="94" w:name="_Toc345685965"/>
      <w:bookmarkStart w:id="95" w:name="_Toc346266470"/>
      <w:bookmarkStart w:id="96" w:name="_Toc345685966"/>
      <w:bookmarkStart w:id="97" w:name="_Toc346266471"/>
      <w:bookmarkStart w:id="98" w:name="_Toc345685967"/>
      <w:bookmarkStart w:id="99" w:name="_Toc346266472"/>
      <w:bookmarkStart w:id="100" w:name="_Toc345685968"/>
      <w:bookmarkStart w:id="101" w:name="_Toc346266473"/>
      <w:bookmarkStart w:id="102" w:name="_Toc213213505"/>
      <w:bookmarkStart w:id="103" w:name="_Toc213213506"/>
      <w:bookmarkStart w:id="104" w:name="_Toc345680054"/>
      <w:bookmarkStart w:id="105" w:name="_Toc345685969"/>
      <w:bookmarkStart w:id="106" w:name="_Toc346266474"/>
      <w:bookmarkStart w:id="107" w:name="_Toc345680055"/>
      <w:bookmarkStart w:id="108" w:name="_Toc345685970"/>
      <w:bookmarkStart w:id="109" w:name="_Toc346266475"/>
      <w:bookmarkStart w:id="110" w:name="_Toc345685971"/>
      <w:bookmarkStart w:id="111" w:name="_Toc346266476"/>
      <w:bookmarkStart w:id="112" w:name="_Toc345685972"/>
      <w:bookmarkStart w:id="113" w:name="_Toc346266477"/>
      <w:bookmarkStart w:id="114" w:name="_Toc345685973"/>
      <w:bookmarkStart w:id="115" w:name="_Toc346266478"/>
      <w:bookmarkStart w:id="116" w:name="_Toc345680057"/>
      <w:bookmarkStart w:id="117" w:name="_Toc345685974"/>
      <w:bookmarkStart w:id="118" w:name="_Toc346266479"/>
      <w:bookmarkStart w:id="119" w:name="_Toc213213514"/>
      <w:bookmarkStart w:id="120" w:name="_Toc213213516"/>
      <w:bookmarkStart w:id="121" w:name="_Toc213213517"/>
      <w:bookmarkStart w:id="122" w:name="_Toc213213518"/>
      <w:bookmarkStart w:id="123" w:name="_Toc148753435"/>
      <w:bookmarkStart w:id="124" w:name="_Toc345685975"/>
      <w:bookmarkStart w:id="125" w:name="_Toc346266480"/>
      <w:bookmarkStart w:id="126" w:name="_Toc345685976"/>
      <w:bookmarkStart w:id="127" w:name="_Toc346266481"/>
      <w:bookmarkStart w:id="128" w:name="_Toc357151544"/>
      <w:bookmarkStart w:id="129" w:name="OLE_LINK3"/>
      <w:bookmarkStart w:id="130" w:name="OLE_LINK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D0F3B">
        <w:rPr>
          <w:rFonts w:cstheme="minorHAnsi"/>
          <w:sz w:val="24"/>
        </w:rPr>
        <w:t>Software in the context of Functional Safety</w:t>
      </w:r>
      <w:bookmarkEnd w:id="128"/>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Depending on the application and corresponding contractual statement with Schaeffler, internationally valid standards must be </w:t>
      </w:r>
      <w:proofErr w:type="gramStart"/>
      <w:r w:rsidRPr="004D0F3B">
        <w:rPr>
          <w:rFonts w:asciiTheme="minorHAnsi" w:hAnsiTheme="minorHAnsi" w:cstheme="minorHAnsi"/>
        </w:rPr>
        <w:t>taken into account</w:t>
      </w:r>
      <w:proofErr w:type="gramEnd"/>
      <w:r w:rsidRPr="004D0F3B">
        <w:rPr>
          <w:rFonts w:asciiTheme="minorHAnsi" w:hAnsiTheme="minorHAnsi" w:cstheme="minorHAnsi"/>
        </w:rPr>
        <w:t xml:space="preserve"> for software development activities conducted in the context of functional safety. </w:t>
      </w:r>
      <w:proofErr w:type="gramStart"/>
      <w:r w:rsidRPr="004D0F3B">
        <w:rPr>
          <w:rFonts w:asciiTheme="minorHAnsi" w:hAnsiTheme="minorHAnsi" w:cstheme="minorHAnsi"/>
        </w:rPr>
        <w:t>In particular, these</w:t>
      </w:r>
      <w:proofErr w:type="gramEnd"/>
      <w:r w:rsidRPr="004D0F3B">
        <w:rPr>
          <w:rFonts w:asciiTheme="minorHAnsi" w:hAnsiTheme="minorHAnsi" w:cstheme="minorHAnsi"/>
        </w:rPr>
        <w:t xml:space="preserve"> standards include ISO 26262 "Road Vehicles" and ISO 13849 "Safety of machinery – Safety-related parts of control systems", as well as IEC 61508 "Functional safety of electrical/ electronic/ programmable electronic safety-related systems", which does not relate to a specific sector. </w:t>
      </w:r>
    </w:p>
    <w:p w:rsidR="004D0F3B" w:rsidRPr="004D0F3B" w:rsidRDefault="004D0F3B" w:rsidP="004D0F3B">
      <w:pPr>
        <w:pStyle w:val="berschrift1"/>
        <w:keepNext/>
        <w:tabs>
          <w:tab w:val="left" w:pos="567"/>
        </w:tabs>
        <w:spacing w:before="360" w:after="240"/>
        <w:ind w:left="0" w:firstLine="0"/>
        <w:rPr>
          <w:rFonts w:cstheme="minorHAnsi"/>
          <w:sz w:val="24"/>
        </w:rPr>
      </w:pPr>
      <w:bookmarkStart w:id="131" w:name="_Toc345685978"/>
      <w:bookmarkStart w:id="132" w:name="_Toc346266483"/>
      <w:bookmarkStart w:id="133" w:name="_Toc345685979"/>
      <w:bookmarkStart w:id="134" w:name="_Toc346266484"/>
      <w:bookmarkStart w:id="135" w:name="_Toc357151545"/>
      <w:bookmarkEnd w:id="129"/>
      <w:bookmarkEnd w:id="130"/>
      <w:bookmarkEnd w:id="131"/>
      <w:bookmarkEnd w:id="132"/>
      <w:bookmarkEnd w:id="133"/>
      <w:bookmarkEnd w:id="134"/>
      <w:r w:rsidRPr="004D0F3B">
        <w:rPr>
          <w:rFonts w:cstheme="minorHAnsi"/>
          <w:sz w:val="24"/>
        </w:rPr>
        <w:t>Term</w:t>
      </w:r>
      <w:bookmarkEnd w:id="135"/>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This </w:t>
      </w:r>
      <w:r w:rsidRPr="004D0F3B">
        <w:rPr>
          <w:rFonts w:asciiTheme="minorHAnsi" w:hAnsiTheme="minorHAnsi" w:cstheme="minorHAnsi"/>
          <w:i/>
        </w:rPr>
        <w:t>Quality Assurance Agreement</w:t>
      </w:r>
      <w:r w:rsidRPr="004D0F3B">
        <w:rPr>
          <w:rFonts w:asciiTheme="minorHAnsi" w:hAnsiTheme="minorHAnsi" w:cstheme="minorHAnsi"/>
          <w:b/>
        </w:rPr>
        <w:t xml:space="preserve"> </w:t>
      </w:r>
      <w:r w:rsidRPr="004D0F3B">
        <w:rPr>
          <w:rFonts w:asciiTheme="minorHAnsi" w:hAnsiTheme="minorHAnsi" w:cstheme="minorHAnsi"/>
        </w:rPr>
        <w:t xml:space="preserve">is effective once it has been signed by both contract parties and is valid for an indefinite period. It applies to the full extent of the business relationship between the contract parties involved. </w:t>
      </w:r>
    </w:p>
    <w:p w:rsidR="004D0F3B" w:rsidRPr="004D0F3B" w:rsidRDefault="004D0F3B" w:rsidP="004D0F3B">
      <w:pPr>
        <w:pStyle w:val="berschrift1"/>
        <w:keepNext/>
        <w:tabs>
          <w:tab w:val="left" w:pos="567"/>
        </w:tabs>
        <w:spacing w:before="360" w:after="240"/>
        <w:ind w:left="0" w:firstLine="0"/>
        <w:rPr>
          <w:rFonts w:cstheme="minorHAnsi"/>
          <w:sz w:val="24"/>
        </w:rPr>
      </w:pPr>
      <w:bookmarkStart w:id="136" w:name="_Toc357151546"/>
      <w:r w:rsidRPr="004D0F3B">
        <w:rPr>
          <w:rFonts w:cstheme="minorHAnsi"/>
          <w:sz w:val="24"/>
        </w:rPr>
        <w:t>Termination</w:t>
      </w:r>
      <w:bookmarkEnd w:id="136"/>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w:t>
      </w:r>
      <w:r w:rsidRPr="004D0F3B">
        <w:rPr>
          <w:rFonts w:asciiTheme="minorHAnsi" w:hAnsiTheme="minorHAnsi" w:cstheme="minorHAnsi"/>
          <w:i/>
        </w:rPr>
        <w:t>Quality Assurance Agreement</w:t>
      </w:r>
      <w:r w:rsidRPr="004D0F3B">
        <w:rPr>
          <w:rFonts w:asciiTheme="minorHAnsi" w:hAnsiTheme="minorHAnsi" w:cstheme="minorHAnsi"/>
        </w:rPr>
        <w:t xml:space="preserve"> may be terminated in writing with twelve months notice if notice is submitted by the end of the month.</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 xml:space="preserve">The termination of this agreement has no effect on the continued validity of any agreements made between the contract parties under the scope of this </w:t>
      </w:r>
      <w:r w:rsidRPr="004D0F3B">
        <w:rPr>
          <w:rFonts w:asciiTheme="minorHAnsi" w:hAnsiTheme="minorHAnsi" w:cstheme="minorHAnsi"/>
          <w:i/>
        </w:rPr>
        <w:t>Quality Assurance Agreement</w:t>
      </w:r>
      <w:r w:rsidRPr="004D0F3B">
        <w:rPr>
          <w:rFonts w:asciiTheme="minorHAnsi" w:hAnsiTheme="minorHAnsi" w:cstheme="minorHAnsi"/>
        </w:rPr>
        <w:t>. The conditions of this agreement will continue to apply to such agreements.</w:t>
      </w:r>
    </w:p>
    <w:p w:rsidR="004D0F3B" w:rsidRPr="004D0F3B" w:rsidRDefault="004D0F3B" w:rsidP="004D0F3B">
      <w:pPr>
        <w:pStyle w:val="berschrift1"/>
        <w:keepNext/>
        <w:tabs>
          <w:tab w:val="left" w:pos="567"/>
        </w:tabs>
        <w:spacing w:before="360" w:after="240"/>
        <w:ind w:left="0" w:firstLine="0"/>
        <w:rPr>
          <w:rFonts w:cstheme="minorHAnsi"/>
          <w:sz w:val="24"/>
        </w:rPr>
      </w:pPr>
      <w:bookmarkStart w:id="137" w:name="_Toc357151547"/>
      <w:r w:rsidRPr="004D0F3B">
        <w:rPr>
          <w:rFonts w:cstheme="minorHAnsi"/>
          <w:sz w:val="24"/>
        </w:rPr>
        <w:t>General</w:t>
      </w:r>
      <w:bookmarkEnd w:id="137"/>
    </w:p>
    <w:p w:rsidR="004D0F3B" w:rsidRPr="004D0F3B" w:rsidRDefault="004D0F3B" w:rsidP="004D0F3B">
      <w:pPr>
        <w:pStyle w:val="AufzhlungmitPunkt"/>
        <w:rPr>
          <w:rFonts w:asciiTheme="minorHAnsi" w:hAnsiTheme="minorHAnsi" w:cstheme="minorHAnsi"/>
        </w:rPr>
      </w:pPr>
      <w:r w:rsidRPr="004D0F3B">
        <w:rPr>
          <w:rFonts w:asciiTheme="minorHAnsi" w:hAnsiTheme="minorHAnsi" w:cstheme="minorHAnsi"/>
        </w:rPr>
        <w:t>Any changes and additions to the agreement must be given in writing.</w:t>
      </w:r>
    </w:p>
    <w:p w:rsidR="004D0F3B" w:rsidRPr="004D0F3B" w:rsidRDefault="004D0F3B" w:rsidP="004D0F3B">
      <w:pPr>
        <w:pStyle w:val="AufzhlungmitPunkt"/>
        <w:ind w:left="360" w:hanging="360"/>
        <w:rPr>
          <w:rFonts w:asciiTheme="minorHAnsi" w:hAnsiTheme="minorHAnsi" w:cstheme="minorHAnsi"/>
        </w:rPr>
      </w:pPr>
      <w:r w:rsidRPr="004D0F3B">
        <w:rPr>
          <w:rFonts w:asciiTheme="minorHAnsi" w:hAnsiTheme="minorHAnsi" w:cstheme="minorHAnsi"/>
        </w:rPr>
        <w:t xml:space="preserve">The contractual relationship is governed by German law, excluding its conflict of law rules. The competent court of jurisdiction is Nuremberg, Germany. However, the customer is also entitled to file an action against the supplier at another competent court. </w:t>
      </w:r>
    </w:p>
    <w:p w:rsidR="004D0F3B" w:rsidRPr="004D0F3B" w:rsidRDefault="004D0F3B" w:rsidP="004D0F3B">
      <w:pPr>
        <w:pStyle w:val="AufzhlungmitPunkt"/>
        <w:ind w:left="360" w:hanging="360"/>
        <w:rPr>
          <w:rFonts w:asciiTheme="minorHAnsi" w:hAnsiTheme="minorHAnsi" w:cstheme="minorHAnsi"/>
        </w:rPr>
      </w:pPr>
      <w:r w:rsidRPr="004D0F3B">
        <w:rPr>
          <w:rFonts w:asciiTheme="minorHAnsi" w:hAnsiTheme="minorHAnsi" w:cstheme="minorHAnsi"/>
        </w:rPr>
        <w:t xml:space="preserve">If a contractual provision is or becomes ineffective, the validity of other provisions will remain unaffected. </w:t>
      </w: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The contract parties commit themselves, in good faith and within the scope of what is reasonable, to replace ineffective provisions with effective regulations which have an economic result equivalent to the original provisions.</w:t>
      </w:r>
    </w:p>
    <w:p w:rsidR="004D0F3B" w:rsidRPr="004D0F3B" w:rsidRDefault="004D0F3B" w:rsidP="004D0F3B">
      <w:pPr>
        <w:pStyle w:val="berschrift1"/>
        <w:keepNext/>
        <w:pageBreakBefore/>
        <w:tabs>
          <w:tab w:val="left" w:pos="567"/>
        </w:tabs>
        <w:spacing w:before="360" w:after="240"/>
        <w:ind w:left="0" w:firstLine="0"/>
        <w:rPr>
          <w:rFonts w:cstheme="minorHAnsi"/>
          <w:sz w:val="24"/>
        </w:rPr>
      </w:pPr>
      <w:bookmarkStart w:id="138" w:name="_Toc357151548"/>
      <w:r w:rsidRPr="004D0F3B">
        <w:rPr>
          <w:rFonts w:cstheme="minorHAnsi"/>
          <w:sz w:val="24"/>
        </w:rPr>
        <w:lastRenderedPageBreak/>
        <w:t>Appendices</w:t>
      </w:r>
      <w:bookmarkEnd w:id="138"/>
    </w:p>
    <w:p w:rsidR="004D0F3B" w:rsidRPr="004D0F3B" w:rsidRDefault="004D0F3B" w:rsidP="004D0F3B">
      <w:pPr>
        <w:tabs>
          <w:tab w:val="left" w:pos="1418"/>
          <w:tab w:val="left" w:pos="2160"/>
          <w:tab w:val="left" w:pos="2268"/>
        </w:tabs>
        <w:jc w:val="both"/>
        <w:rPr>
          <w:rFonts w:cstheme="minorHAnsi"/>
          <w:sz w:val="22"/>
        </w:rPr>
      </w:pPr>
      <w:r w:rsidRPr="004D0F3B">
        <w:rPr>
          <w:rFonts w:cstheme="minorHAnsi"/>
          <w:sz w:val="22"/>
        </w:rPr>
        <w:t xml:space="preserve">The following appendices to the current version are an integral part of the </w:t>
      </w:r>
      <w:r w:rsidRPr="004D0F3B">
        <w:rPr>
          <w:rFonts w:cstheme="minorHAnsi"/>
          <w:i/>
          <w:sz w:val="22"/>
        </w:rPr>
        <w:t>Quality Assurance Agreement with Software Suppliers</w:t>
      </w:r>
      <w:r w:rsidRPr="004D0F3B">
        <w:rPr>
          <w:rFonts w:cstheme="minorHAnsi"/>
          <w:sz w:val="22"/>
        </w:rPr>
        <w:t>:</w:t>
      </w:r>
    </w:p>
    <w:p w:rsidR="004D0F3B" w:rsidRPr="004D0F3B" w:rsidRDefault="004D0F3B" w:rsidP="004D0F3B">
      <w:pPr>
        <w:tabs>
          <w:tab w:val="left" w:pos="1418"/>
          <w:tab w:val="left" w:pos="2160"/>
          <w:tab w:val="left" w:pos="2268"/>
        </w:tabs>
        <w:jc w:val="both"/>
        <w:rPr>
          <w:rFonts w:cstheme="minorHAnsi"/>
          <w:sz w:val="22"/>
        </w:rPr>
      </w:pPr>
    </w:p>
    <w:p w:rsidR="004D0F3B" w:rsidRPr="004D0F3B" w:rsidRDefault="004D0F3B" w:rsidP="004D0F3B">
      <w:pPr>
        <w:tabs>
          <w:tab w:val="left" w:pos="1418"/>
          <w:tab w:val="left" w:pos="2160"/>
          <w:tab w:val="left" w:pos="2268"/>
        </w:tabs>
        <w:jc w:val="both"/>
        <w:rPr>
          <w:rFonts w:cstheme="minorHAnsi"/>
          <w:sz w:val="22"/>
        </w:rPr>
      </w:pPr>
      <w:r w:rsidRPr="004D0F3B">
        <w:rPr>
          <w:rFonts w:cstheme="minorHAnsi"/>
          <w:sz w:val="22"/>
        </w:rPr>
        <w:t>Appendix 1</w:t>
      </w:r>
      <w:r w:rsidRPr="004D0F3B">
        <w:rPr>
          <w:rFonts w:cstheme="minorHAnsi"/>
          <w:sz w:val="22"/>
        </w:rPr>
        <w:tab/>
        <w:t>Conducting and rating the process assessment</w:t>
      </w:r>
    </w:p>
    <w:p w:rsidR="004D0F3B" w:rsidRPr="004D0F3B" w:rsidRDefault="004D0F3B" w:rsidP="004D0F3B">
      <w:pPr>
        <w:tabs>
          <w:tab w:val="left" w:pos="1418"/>
          <w:tab w:val="left" w:pos="2160"/>
          <w:tab w:val="left" w:pos="2268"/>
        </w:tabs>
        <w:jc w:val="both"/>
        <w:rPr>
          <w:rFonts w:cstheme="minorHAnsi"/>
          <w:sz w:val="22"/>
        </w:rPr>
      </w:pPr>
      <w:r w:rsidRPr="004D0F3B">
        <w:rPr>
          <w:rFonts w:cstheme="minorHAnsi"/>
          <w:sz w:val="22"/>
        </w:rPr>
        <w:t>Appendix 2</w:t>
      </w:r>
      <w:r w:rsidRPr="004D0F3B">
        <w:rPr>
          <w:rFonts w:cstheme="minorHAnsi"/>
          <w:sz w:val="22"/>
        </w:rPr>
        <w:tab/>
        <w:t xml:space="preserve">Process assessment </w:t>
      </w:r>
    </w:p>
    <w:p w:rsidR="004D0F3B" w:rsidRPr="004D0F3B" w:rsidRDefault="004D0F3B" w:rsidP="004D0F3B">
      <w:pPr>
        <w:pStyle w:val="StandardBlock"/>
        <w:rPr>
          <w:rFonts w:asciiTheme="minorHAnsi" w:hAnsiTheme="minorHAnsi" w:cstheme="minorHAnsi"/>
        </w:rPr>
      </w:pPr>
    </w:p>
    <w:p w:rsidR="004D0F3B" w:rsidRPr="004D0F3B" w:rsidRDefault="004D0F3B" w:rsidP="004D0F3B">
      <w:pPr>
        <w:pStyle w:val="StandardBlock"/>
        <w:rPr>
          <w:rFonts w:asciiTheme="minorHAnsi" w:hAnsiTheme="minorHAnsi" w:cstheme="minorHAnsi"/>
        </w:rPr>
      </w:pPr>
    </w:p>
    <w:p w:rsidR="004D0F3B" w:rsidRPr="004D0F3B" w:rsidRDefault="004D0F3B" w:rsidP="004D0F3B">
      <w:pPr>
        <w:pStyle w:val="StandardBlock"/>
        <w:rPr>
          <w:rFonts w:asciiTheme="minorHAnsi" w:hAnsiTheme="minorHAnsi" w:cstheme="minorHAnsi"/>
        </w:rPr>
      </w:pPr>
    </w:p>
    <w:p w:rsidR="004D0F3B" w:rsidRPr="004D0F3B" w:rsidRDefault="004D0F3B" w:rsidP="004D0F3B">
      <w:pPr>
        <w:pStyle w:val="StandardBlock"/>
        <w:rPr>
          <w:rFonts w:asciiTheme="minorHAnsi" w:hAnsiTheme="minorHAnsi" w:cstheme="minorHAnsi"/>
        </w:rPr>
      </w:pPr>
      <w:r w:rsidRPr="004D0F3B">
        <w:rPr>
          <w:rFonts w:asciiTheme="minorHAnsi" w:hAnsiTheme="minorHAnsi" w:cstheme="minorHAnsi"/>
        </w:rPr>
        <w:tab/>
      </w:r>
      <w:r w:rsidRPr="004D0F3B">
        <w:rPr>
          <w:rFonts w:asciiTheme="minorHAnsi" w:hAnsiTheme="minorHAnsi" w:cstheme="minorHAnsi"/>
        </w:rPr>
        <w:tab/>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4D0F3B" w:rsidRPr="004D0F3B" w:rsidDel="00580FCB" w:rsidTr="00B61967">
        <w:trPr>
          <w:trHeight w:val="230"/>
        </w:trPr>
        <w:tc>
          <w:tcPr>
            <w:tcW w:w="4403" w:type="dxa"/>
            <w:gridSpan w:val="3"/>
          </w:tcPr>
          <w:p w:rsidR="004D0F3B" w:rsidRPr="004D0F3B" w:rsidDel="00580FCB" w:rsidRDefault="004D0F3B" w:rsidP="00B61967">
            <w:pPr>
              <w:pStyle w:val="StandardBlock"/>
              <w:spacing w:before="0" w:after="120"/>
              <w:ind w:left="-113"/>
              <w:jc w:val="left"/>
              <w:rPr>
                <w:rFonts w:asciiTheme="minorHAnsi" w:hAnsiTheme="minorHAnsi" w:cstheme="minorHAnsi"/>
                <w:b/>
                <w:szCs w:val="22"/>
              </w:rPr>
            </w:pPr>
            <w:r w:rsidRPr="004D0F3B">
              <w:rPr>
                <w:rFonts w:asciiTheme="minorHAnsi" w:hAnsiTheme="minorHAnsi" w:cstheme="minorHAnsi"/>
                <w:b/>
                <w:szCs w:val="22"/>
              </w:rPr>
              <w:t>Supplier</w:t>
            </w:r>
          </w:p>
        </w:tc>
        <w:tc>
          <w:tcPr>
            <w:tcW w:w="512" w:type="dxa"/>
          </w:tcPr>
          <w:p w:rsidR="004D0F3B" w:rsidRPr="004D0F3B" w:rsidDel="00580FCB" w:rsidRDefault="004D0F3B" w:rsidP="00B61967">
            <w:pPr>
              <w:pStyle w:val="StandardBlock"/>
              <w:spacing w:before="0" w:after="120"/>
              <w:jc w:val="left"/>
              <w:rPr>
                <w:rFonts w:asciiTheme="minorHAnsi" w:hAnsiTheme="minorHAnsi" w:cstheme="minorHAnsi"/>
                <w:b/>
                <w:szCs w:val="22"/>
              </w:rPr>
            </w:pPr>
          </w:p>
        </w:tc>
        <w:tc>
          <w:tcPr>
            <w:tcW w:w="4806" w:type="dxa"/>
            <w:gridSpan w:val="3"/>
            <w:shd w:val="clear" w:color="auto" w:fill="auto"/>
          </w:tcPr>
          <w:p w:rsidR="004D0F3B" w:rsidRPr="004D0F3B" w:rsidDel="00E96AFF" w:rsidRDefault="004D0F3B" w:rsidP="00B61967">
            <w:pPr>
              <w:pStyle w:val="StandardBlock"/>
              <w:spacing w:before="0" w:after="120"/>
              <w:ind w:left="-113"/>
              <w:jc w:val="left"/>
              <w:rPr>
                <w:rFonts w:asciiTheme="minorHAnsi" w:hAnsiTheme="minorHAnsi" w:cstheme="minorHAnsi"/>
                <w:b/>
                <w:szCs w:val="22"/>
              </w:rPr>
            </w:pPr>
            <w:r w:rsidRPr="004D0F3B">
              <w:rPr>
                <w:rFonts w:asciiTheme="minorHAnsi" w:hAnsiTheme="minorHAnsi" w:cstheme="minorHAnsi"/>
                <w:b/>
                <w:szCs w:val="22"/>
              </w:rPr>
              <w:t>Customer</w:t>
            </w:r>
          </w:p>
        </w:tc>
      </w:tr>
      <w:tr w:rsidR="004D0F3B" w:rsidRPr="006620E1" w:rsidDel="00580FCB" w:rsidTr="00B61967">
        <w:trPr>
          <w:trHeight w:val="230"/>
        </w:trPr>
        <w:tc>
          <w:tcPr>
            <w:tcW w:w="4403" w:type="dxa"/>
            <w:gridSpan w:val="3"/>
            <w:tcBorders>
              <w:bottom w:val="single" w:sz="4" w:space="0" w:color="auto"/>
            </w:tcBorders>
            <w:vAlign w:val="center"/>
          </w:tcPr>
          <w:p w:rsidR="004D0F3B" w:rsidRPr="004D0F3B" w:rsidDel="00580FCB" w:rsidRDefault="004D0F3B" w:rsidP="00B61967">
            <w:pPr>
              <w:pStyle w:val="StandardBlock"/>
              <w:spacing w:before="60" w:after="0"/>
              <w:ind w:left="-108"/>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512" w:type="dxa"/>
            <w:vAlign w:val="center"/>
          </w:tcPr>
          <w:p w:rsidR="004D0F3B" w:rsidRPr="004D0F3B" w:rsidDel="00580FCB" w:rsidRDefault="004D0F3B" w:rsidP="00B61967">
            <w:pPr>
              <w:pStyle w:val="StandardBlock"/>
              <w:spacing w:before="60" w:after="0"/>
              <w:ind w:left="-108"/>
              <w:jc w:val="left"/>
              <w:rPr>
                <w:rFonts w:asciiTheme="minorHAnsi" w:hAnsiTheme="minorHAnsi" w:cstheme="minorHAnsi"/>
                <w:szCs w:val="22"/>
              </w:rPr>
            </w:pPr>
          </w:p>
        </w:tc>
        <w:tc>
          <w:tcPr>
            <w:tcW w:w="4806" w:type="dxa"/>
            <w:gridSpan w:val="3"/>
            <w:shd w:val="clear" w:color="auto" w:fill="auto"/>
            <w:vAlign w:val="bottom"/>
          </w:tcPr>
          <w:p w:rsidR="004D0F3B" w:rsidRPr="004D0F3B" w:rsidDel="00E96AFF" w:rsidRDefault="004D0F3B" w:rsidP="00B61967">
            <w:pPr>
              <w:pStyle w:val="StandardBlock"/>
              <w:spacing w:before="60" w:after="0"/>
              <w:ind w:left="-113"/>
              <w:jc w:val="left"/>
              <w:rPr>
                <w:rFonts w:asciiTheme="minorHAnsi" w:hAnsiTheme="minorHAnsi" w:cstheme="minorHAnsi"/>
                <w:szCs w:val="22"/>
                <w:lang w:val="de-DE"/>
              </w:rPr>
            </w:pPr>
            <w:r w:rsidRPr="004D0F3B">
              <w:rPr>
                <w:rFonts w:asciiTheme="minorHAnsi" w:hAnsiTheme="minorHAnsi" w:cstheme="minorHAnsi"/>
                <w:szCs w:val="22"/>
                <w:lang w:val="de-DE"/>
              </w:rPr>
              <w:t xml:space="preserve">Schaeffler Technologies </w:t>
            </w:r>
            <w:r w:rsidRPr="004D0F3B">
              <w:rPr>
                <w:rFonts w:asciiTheme="minorHAnsi" w:hAnsiTheme="minorHAnsi" w:cstheme="minorHAnsi"/>
                <w:color w:val="0000FF"/>
                <w:lang w:val="de-DE"/>
              </w:rPr>
              <w:t>AG</w:t>
            </w:r>
            <w:r w:rsidRPr="004D0F3B">
              <w:rPr>
                <w:rFonts w:asciiTheme="minorHAnsi" w:hAnsiTheme="minorHAnsi" w:cstheme="minorHAnsi"/>
                <w:szCs w:val="22"/>
                <w:lang w:val="de-DE"/>
              </w:rPr>
              <w:t xml:space="preserve"> &amp; Co. KG.</w:t>
            </w:r>
          </w:p>
        </w:tc>
      </w:tr>
      <w:tr w:rsidR="004D0F3B" w:rsidRPr="004D0F3B" w:rsidDel="00580FCB" w:rsidTr="00B61967">
        <w:trPr>
          <w:trHeight w:val="230"/>
        </w:trPr>
        <w:tc>
          <w:tcPr>
            <w:tcW w:w="4403" w:type="dxa"/>
            <w:gridSpan w:val="3"/>
            <w:tcBorders>
              <w:top w:val="single" w:sz="4" w:space="0" w:color="auto"/>
            </w:tcBorders>
          </w:tcPr>
          <w:p w:rsidR="004D0F3B" w:rsidRPr="004D0F3B" w:rsidDel="00580FCB" w:rsidRDefault="004D0F3B" w:rsidP="00B61967">
            <w:pPr>
              <w:pStyle w:val="StandardBlock"/>
              <w:spacing w:before="0" w:after="120"/>
              <w:ind w:left="-113"/>
              <w:jc w:val="left"/>
              <w:rPr>
                <w:rFonts w:asciiTheme="minorHAnsi" w:hAnsiTheme="minorHAnsi" w:cstheme="minorHAnsi"/>
                <w:sz w:val="18"/>
                <w:szCs w:val="18"/>
              </w:rPr>
            </w:pPr>
            <w:r w:rsidRPr="004D0F3B">
              <w:rPr>
                <w:rFonts w:asciiTheme="minorHAnsi" w:hAnsiTheme="minorHAnsi" w:cstheme="minorHAnsi"/>
                <w:sz w:val="18"/>
                <w:szCs w:val="18"/>
              </w:rPr>
              <w:t>Supplier name</w:t>
            </w:r>
          </w:p>
        </w:tc>
        <w:tc>
          <w:tcPr>
            <w:tcW w:w="512" w:type="dxa"/>
          </w:tcPr>
          <w:p w:rsidR="004D0F3B" w:rsidRPr="004D0F3B" w:rsidDel="00580FCB" w:rsidRDefault="004D0F3B" w:rsidP="00B61967">
            <w:pPr>
              <w:pStyle w:val="StandardBlock"/>
              <w:spacing w:before="0" w:after="120"/>
              <w:jc w:val="left"/>
              <w:rPr>
                <w:rFonts w:asciiTheme="minorHAnsi" w:hAnsiTheme="minorHAnsi" w:cstheme="minorHAnsi"/>
                <w:sz w:val="18"/>
                <w:szCs w:val="18"/>
              </w:rPr>
            </w:pPr>
          </w:p>
        </w:tc>
        <w:tc>
          <w:tcPr>
            <w:tcW w:w="4806" w:type="dxa"/>
            <w:gridSpan w:val="3"/>
            <w:shd w:val="clear" w:color="auto" w:fill="auto"/>
            <w:vAlign w:val="bottom"/>
          </w:tcPr>
          <w:p w:rsidR="004D0F3B" w:rsidRPr="004D0F3B" w:rsidDel="00E96AFF" w:rsidRDefault="004D0F3B" w:rsidP="00B61967">
            <w:pPr>
              <w:pStyle w:val="StandardBlock"/>
              <w:spacing w:before="60" w:after="0"/>
              <w:ind w:left="-113"/>
              <w:jc w:val="left"/>
              <w:rPr>
                <w:rFonts w:asciiTheme="minorHAnsi" w:hAnsiTheme="minorHAnsi" w:cstheme="minorHAnsi"/>
                <w:sz w:val="18"/>
                <w:szCs w:val="18"/>
              </w:rPr>
            </w:pPr>
          </w:p>
        </w:tc>
      </w:tr>
      <w:tr w:rsidR="004D0F3B" w:rsidRPr="004D0F3B" w:rsidDel="00580FCB" w:rsidTr="00B61967">
        <w:trPr>
          <w:trHeight w:val="230"/>
        </w:trPr>
        <w:tc>
          <w:tcPr>
            <w:tcW w:w="4403" w:type="dxa"/>
            <w:gridSpan w:val="3"/>
            <w:tcBorders>
              <w:bottom w:val="single" w:sz="4" w:space="0" w:color="auto"/>
            </w:tcBorders>
            <w:vAlign w:val="center"/>
          </w:tcPr>
          <w:p w:rsidR="004D0F3B" w:rsidRPr="004D0F3B" w:rsidDel="00580FCB" w:rsidRDefault="004D0F3B" w:rsidP="00B61967">
            <w:pPr>
              <w:pStyle w:val="StandardBlock"/>
              <w:spacing w:before="60" w:after="0"/>
              <w:ind w:left="-96"/>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512" w:type="dxa"/>
            <w:vAlign w:val="center"/>
          </w:tcPr>
          <w:p w:rsidR="004D0F3B" w:rsidRPr="004D0F3B" w:rsidDel="00580FCB" w:rsidRDefault="004D0F3B" w:rsidP="00B61967">
            <w:pPr>
              <w:pStyle w:val="StandardBlock"/>
              <w:spacing w:before="0" w:after="0"/>
              <w:jc w:val="left"/>
              <w:rPr>
                <w:rFonts w:asciiTheme="minorHAnsi" w:hAnsiTheme="minorHAnsi" w:cstheme="minorHAnsi"/>
                <w:szCs w:val="22"/>
              </w:rPr>
            </w:pPr>
          </w:p>
        </w:tc>
        <w:tc>
          <w:tcPr>
            <w:tcW w:w="4806" w:type="dxa"/>
            <w:gridSpan w:val="3"/>
            <w:shd w:val="clear" w:color="auto" w:fill="auto"/>
            <w:vAlign w:val="bottom"/>
          </w:tcPr>
          <w:p w:rsidR="004D0F3B" w:rsidRPr="004D0F3B" w:rsidDel="00E96AFF" w:rsidRDefault="004D0F3B" w:rsidP="00B61967">
            <w:pPr>
              <w:pStyle w:val="StandardBlock"/>
              <w:spacing w:before="60" w:after="0"/>
              <w:ind w:left="-113"/>
              <w:jc w:val="left"/>
              <w:rPr>
                <w:rFonts w:asciiTheme="minorHAnsi" w:hAnsiTheme="minorHAnsi" w:cstheme="minorHAnsi"/>
                <w:szCs w:val="22"/>
              </w:rPr>
            </w:pPr>
          </w:p>
        </w:tc>
      </w:tr>
      <w:tr w:rsidR="004D0F3B" w:rsidRPr="004D0F3B" w:rsidDel="00580FCB" w:rsidTr="00B61967">
        <w:trPr>
          <w:trHeight w:val="230"/>
        </w:trPr>
        <w:tc>
          <w:tcPr>
            <w:tcW w:w="4403" w:type="dxa"/>
            <w:gridSpan w:val="3"/>
            <w:tcBorders>
              <w:top w:val="single" w:sz="4" w:space="0" w:color="auto"/>
            </w:tcBorders>
          </w:tcPr>
          <w:p w:rsidR="004D0F3B" w:rsidRPr="004D0F3B" w:rsidDel="00580FCB" w:rsidRDefault="004D0F3B" w:rsidP="00B61967">
            <w:pPr>
              <w:pStyle w:val="StandardBlock"/>
              <w:spacing w:before="0" w:after="120"/>
              <w:ind w:left="-113"/>
              <w:jc w:val="left"/>
              <w:rPr>
                <w:rFonts w:asciiTheme="minorHAnsi" w:hAnsiTheme="minorHAnsi" w:cstheme="minorHAnsi"/>
                <w:szCs w:val="22"/>
              </w:rPr>
            </w:pPr>
            <w:r w:rsidRPr="004D0F3B">
              <w:rPr>
                <w:rFonts w:asciiTheme="minorHAnsi" w:hAnsiTheme="minorHAnsi" w:cstheme="minorHAnsi"/>
                <w:sz w:val="18"/>
                <w:szCs w:val="18"/>
              </w:rPr>
              <w:t>Schaeffler supplier no.</w:t>
            </w:r>
          </w:p>
        </w:tc>
        <w:tc>
          <w:tcPr>
            <w:tcW w:w="512" w:type="dxa"/>
          </w:tcPr>
          <w:p w:rsidR="004D0F3B" w:rsidRPr="004D0F3B" w:rsidDel="00580FCB" w:rsidRDefault="004D0F3B" w:rsidP="00B61967">
            <w:pPr>
              <w:pStyle w:val="StandardBlock"/>
              <w:spacing w:before="0" w:after="120"/>
              <w:jc w:val="left"/>
              <w:rPr>
                <w:rFonts w:asciiTheme="minorHAnsi" w:hAnsiTheme="minorHAnsi" w:cstheme="minorHAnsi"/>
                <w:szCs w:val="22"/>
              </w:rPr>
            </w:pPr>
          </w:p>
        </w:tc>
        <w:tc>
          <w:tcPr>
            <w:tcW w:w="4806" w:type="dxa"/>
            <w:gridSpan w:val="3"/>
            <w:shd w:val="clear" w:color="auto" w:fill="auto"/>
            <w:vAlign w:val="bottom"/>
          </w:tcPr>
          <w:p w:rsidR="004D0F3B" w:rsidRPr="004D0F3B" w:rsidDel="00E96AFF" w:rsidRDefault="004D0F3B" w:rsidP="00B61967">
            <w:pPr>
              <w:pStyle w:val="StandardBlock"/>
              <w:spacing w:before="60" w:after="0"/>
              <w:ind w:left="-113"/>
              <w:jc w:val="left"/>
              <w:rPr>
                <w:rFonts w:asciiTheme="minorHAnsi" w:hAnsiTheme="minorHAnsi" w:cstheme="minorHAnsi"/>
                <w:szCs w:val="22"/>
              </w:rPr>
            </w:pPr>
          </w:p>
        </w:tc>
      </w:tr>
      <w:tr w:rsidR="004D0F3B" w:rsidRPr="004D0F3B" w:rsidDel="00580FCB" w:rsidTr="00B61967">
        <w:trPr>
          <w:trHeight w:hRule="exact" w:val="284"/>
        </w:trPr>
        <w:tc>
          <w:tcPr>
            <w:tcW w:w="1942" w:type="dxa"/>
            <w:vAlign w:val="bottom"/>
          </w:tcPr>
          <w:p w:rsidR="004D0F3B" w:rsidRPr="004D0F3B" w:rsidDel="00580FCB" w:rsidRDefault="004D0F3B" w:rsidP="00B61967">
            <w:pPr>
              <w:pStyle w:val="StandardBlock"/>
              <w:spacing w:before="0" w:after="0"/>
              <w:ind w:left="-11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vAlign w:val="bottom"/>
          </w:tcPr>
          <w:p w:rsidR="004D0F3B" w:rsidRPr="004D0F3B" w:rsidDel="00580FCB" w:rsidRDefault="004D0F3B" w:rsidP="00B61967">
            <w:pPr>
              <w:pStyle w:val="StandardBlock"/>
              <w:spacing w:before="0" w:after="0"/>
              <w:jc w:val="left"/>
              <w:rPr>
                <w:rFonts w:asciiTheme="minorHAnsi" w:hAnsiTheme="minorHAnsi" w:cstheme="minorHAnsi"/>
                <w:szCs w:val="22"/>
              </w:rPr>
            </w:pPr>
          </w:p>
        </w:tc>
        <w:tc>
          <w:tcPr>
            <w:tcW w:w="2225" w:type="dxa"/>
            <w:vAlign w:val="bottom"/>
          </w:tcPr>
          <w:p w:rsidR="004D0F3B" w:rsidRPr="004D0F3B" w:rsidDel="00580FCB" w:rsidRDefault="004D0F3B" w:rsidP="00B61967">
            <w:pPr>
              <w:pStyle w:val="StandardBlock"/>
              <w:spacing w:before="0" w:after="0"/>
              <w:ind w:left="-7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512" w:type="dxa"/>
            <w:vAlign w:val="bottom"/>
          </w:tcPr>
          <w:p w:rsidR="004D0F3B" w:rsidRPr="004D0F3B" w:rsidDel="00580FCB" w:rsidRDefault="004D0F3B" w:rsidP="00B61967">
            <w:pPr>
              <w:pStyle w:val="StandardBlock"/>
              <w:spacing w:before="0" w:after="0"/>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4D0F3B" w:rsidRPr="004D0F3B" w:rsidRDefault="004D0F3B" w:rsidP="00B61967">
            <w:pPr>
              <w:pStyle w:val="StandardBlock"/>
              <w:spacing w:before="60" w:after="0"/>
              <w:ind w:left="-122" w:right="-113" w:firstLine="14"/>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shd w:val="clear" w:color="auto" w:fill="auto"/>
            <w:vAlign w:val="bottom"/>
          </w:tcPr>
          <w:p w:rsidR="004D0F3B" w:rsidRPr="004D0F3B" w:rsidDel="00580FCB" w:rsidRDefault="004D0F3B" w:rsidP="00B61967">
            <w:pPr>
              <w:pStyle w:val="StandardBlock"/>
              <w:spacing w:before="60" w:after="0"/>
              <w:jc w:val="left"/>
              <w:rPr>
                <w:rFonts w:asciiTheme="minorHAnsi" w:hAnsiTheme="minorHAnsi" w:cstheme="minorHAnsi"/>
                <w:szCs w:val="22"/>
              </w:rPr>
            </w:pPr>
          </w:p>
        </w:tc>
        <w:tc>
          <w:tcPr>
            <w:tcW w:w="2583" w:type="dxa"/>
            <w:vAlign w:val="bottom"/>
          </w:tcPr>
          <w:p w:rsidR="004D0F3B" w:rsidRPr="004D0F3B" w:rsidDel="00580FCB" w:rsidRDefault="004D0F3B" w:rsidP="00B61967">
            <w:pPr>
              <w:pStyle w:val="StandardBlock"/>
              <w:spacing w:before="60" w:after="0"/>
              <w:ind w:left="-92"/>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r>
      <w:tr w:rsidR="004D0F3B" w:rsidRPr="004D0F3B" w:rsidTr="00B61967">
        <w:trPr>
          <w:trHeight w:hRule="exact" w:val="23"/>
        </w:trPr>
        <w:tc>
          <w:tcPr>
            <w:tcW w:w="1942" w:type="dxa"/>
            <w:tcBorders>
              <w:top w:val="single" w:sz="4" w:space="0" w:color="auto"/>
            </w:tcBorders>
          </w:tcPr>
          <w:p w:rsidR="004D0F3B" w:rsidRPr="004D0F3B" w:rsidRDefault="004D0F3B" w:rsidP="00B61967">
            <w:pPr>
              <w:pStyle w:val="StandardBlock"/>
              <w:spacing w:before="0" w:after="0"/>
              <w:jc w:val="left"/>
              <w:rPr>
                <w:rFonts w:asciiTheme="minorHAnsi" w:hAnsiTheme="minorHAnsi" w:cstheme="minorHAnsi"/>
                <w:szCs w:val="22"/>
              </w:rPr>
            </w:pPr>
          </w:p>
        </w:tc>
        <w:tc>
          <w:tcPr>
            <w:tcW w:w="236" w:type="dxa"/>
          </w:tcPr>
          <w:p w:rsidR="004D0F3B" w:rsidRPr="004D0F3B" w:rsidRDefault="004D0F3B" w:rsidP="00B61967">
            <w:pPr>
              <w:pStyle w:val="StandardBlock"/>
              <w:spacing w:before="0" w:after="0"/>
              <w:jc w:val="left"/>
              <w:rPr>
                <w:rFonts w:asciiTheme="minorHAnsi" w:hAnsiTheme="minorHAnsi" w:cstheme="minorHAnsi"/>
                <w:szCs w:val="22"/>
              </w:rPr>
            </w:pPr>
          </w:p>
        </w:tc>
        <w:tc>
          <w:tcPr>
            <w:tcW w:w="2225" w:type="dxa"/>
            <w:tcBorders>
              <w:top w:val="single" w:sz="4" w:space="0" w:color="auto"/>
            </w:tcBorders>
          </w:tcPr>
          <w:p w:rsidR="004D0F3B" w:rsidRPr="004D0F3B" w:rsidRDefault="004D0F3B" w:rsidP="00B61967">
            <w:pPr>
              <w:pStyle w:val="StandardBlock"/>
              <w:spacing w:before="0" w:after="0"/>
              <w:jc w:val="left"/>
              <w:rPr>
                <w:rFonts w:asciiTheme="minorHAnsi" w:hAnsiTheme="minorHAnsi" w:cstheme="minorHAnsi"/>
                <w:szCs w:val="22"/>
              </w:rPr>
            </w:pPr>
          </w:p>
        </w:tc>
        <w:tc>
          <w:tcPr>
            <w:tcW w:w="512" w:type="dxa"/>
          </w:tcPr>
          <w:p w:rsidR="004D0F3B" w:rsidRPr="004D0F3B" w:rsidRDefault="004D0F3B" w:rsidP="00B61967">
            <w:pPr>
              <w:pStyle w:val="StandardBlock"/>
              <w:spacing w:before="0" w:after="0"/>
              <w:jc w:val="left"/>
              <w:rPr>
                <w:rFonts w:asciiTheme="minorHAnsi" w:hAnsiTheme="minorHAnsi" w:cstheme="minorHAnsi"/>
                <w:szCs w:val="22"/>
              </w:rPr>
            </w:pPr>
          </w:p>
        </w:tc>
        <w:tc>
          <w:tcPr>
            <w:tcW w:w="1987" w:type="dxa"/>
            <w:tcBorders>
              <w:top w:val="single" w:sz="4" w:space="0" w:color="auto"/>
            </w:tcBorders>
            <w:shd w:val="clear" w:color="auto" w:fill="auto"/>
          </w:tcPr>
          <w:p w:rsidR="004D0F3B" w:rsidRPr="004D0F3B" w:rsidRDefault="004D0F3B" w:rsidP="00B61967">
            <w:pPr>
              <w:pStyle w:val="StandardBlock"/>
              <w:spacing w:before="0" w:after="0"/>
              <w:jc w:val="left"/>
              <w:rPr>
                <w:rFonts w:asciiTheme="minorHAnsi" w:hAnsiTheme="minorHAnsi" w:cstheme="minorHAnsi"/>
                <w:szCs w:val="22"/>
              </w:rPr>
            </w:pPr>
          </w:p>
        </w:tc>
        <w:tc>
          <w:tcPr>
            <w:tcW w:w="236" w:type="dxa"/>
            <w:shd w:val="clear" w:color="auto" w:fill="auto"/>
          </w:tcPr>
          <w:p w:rsidR="004D0F3B" w:rsidRPr="004D0F3B" w:rsidRDefault="004D0F3B" w:rsidP="00B61967">
            <w:pPr>
              <w:pStyle w:val="StandardBlock"/>
              <w:spacing w:before="0" w:after="0"/>
              <w:jc w:val="left"/>
              <w:rPr>
                <w:rFonts w:asciiTheme="minorHAnsi" w:hAnsiTheme="minorHAnsi" w:cstheme="minorHAnsi"/>
                <w:szCs w:val="22"/>
              </w:rPr>
            </w:pPr>
          </w:p>
        </w:tc>
        <w:tc>
          <w:tcPr>
            <w:tcW w:w="2583" w:type="dxa"/>
            <w:tcBorders>
              <w:top w:val="single" w:sz="4" w:space="0" w:color="auto"/>
            </w:tcBorders>
          </w:tcPr>
          <w:p w:rsidR="004D0F3B" w:rsidRPr="004D0F3B" w:rsidRDefault="004D0F3B" w:rsidP="00B61967">
            <w:pPr>
              <w:pStyle w:val="StandardBlock"/>
              <w:spacing w:before="0" w:after="0"/>
              <w:jc w:val="left"/>
              <w:rPr>
                <w:rFonts w:asciiTheme="minorHAnsi" w:hAnsiTheme="minorHAnsi" w:cstheme="minorHAnsi"/>
                <w:szCs w:val="22"/>
              </w:rPr>
            </w:pPr>
          </w:p>
        </w:tc>
      </w:tr>
      <w:tr w:rsidR="004D0F3B" w:rsidRPr="004D0F3B" w:rsidTr="00B61967">
        <w:trPr>
          <w:trHeight w:val="50"/>
        </w:trPr>
        <w:tc>
          <w:tcPr>
            <w:tcW w:w="1942"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Place</w:t>
            </w: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225"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Date</w:t>
            </w:r>
          </w:p>
        </w:tc>
        <w:tc>
          <w:tcPr>
            <w:tcW w:w="512"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Place</w:t>
            </w: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583"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Date</w:t>
            </w:r>
          </w:p>
        </w:tc>
      </w:tr>
      <w:tr w:rsidR="004D0F3B" w:rsidRPr="004D0F3B" w:rsidTr="00B61967">
        <w:trPr>
          <w:trHeight w:hRule="exact" w:val="567"/>
        </w:trPr>
        <w:tc>
          <w:tcPr>
            <w:tcW w:w="1942"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rPr>
          <w:trHeight w:hRule="exact" w:val="284"/>
        </w:trPr>
        <w:tc>
          <w:tcPr>
            <w:tcW w:w="1942"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shd w:val="clear" w:color="auto" w:fill="auto"/>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rPr>
          <w:trHeight w:hRule="exact" w:val="23"/>
        </w:trPr>
        <w:tc>
          <w:tcPr>
            <w:tcW w:w="1942"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c>
          <w:tcPr>
            <w:tcW w:w="1942"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Name</w:t>
            </w: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225"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Signature</w:t>
            </w:r>
          </w:p>
        </w:tc>
        <w:tc>
          <w:tcPr>
            <w:tcW w:w="512"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Name</w:t>
            </w: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583"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Signature, Purchasing</w:t>
            </w:r>
          </w:p>
        </w:tc>
      </w:tr>
      <w:tr w:rsidR="004D0F3B" w:rsidRPr="004D0F3B" w:rsidTr="00B61967">
        <w:trPr>
          <w:trHeight w:hRule="exact" w:val="567"/>
        </w:trPr>
        <w:tc>
          <w:tcPr>
            <w:tcW w:w="1942"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rPr>
          <w:trHeight w:hRule="exact" w:val="284"/>
        </w:trPr>
        <w:tc>
          <w:tcPr>
            <w:tcW w:w="1942"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shd w:val="clear" w:color="auto" w:fill="auto"/>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r w:rsidRPr="004D0F3B">
              <w:rPr>
                <w:rFonts w:asciiTheme="minorHAnsi" w:hAnsiTheme="minorHAnsi" w:cstheme="minorHAnsi"/>
                <w:szCs w:val="22"/>
              </w:rPr>
              <w:fldChar w:fldCharType="begin">
                <w:ffData>
                  <w:name w:val=""/>
                  <w:enabled/>
                  <w:calcOnExit w:val="0"/>
                  <w:textInput/>
                </w:ffData>
              </w:fldChar>
            </w:r>
            <w:r w:rsidRPr="004D0F3B">
              <w:rPr>
                <w:rFonts w:asciiTheme="minorHAnsi" w:hAnsiTheme="minorHAnsi" w:cstheme="minorHAnsi"/>
                <w:szCs w:val="22"/>
              </w:rPr>
              <w:instrText xml:space="preserve"> FORMTEXT </w:instrText>
            </w:r>
            <w:r w:rsidRPr="004D0F3B">
              <w:rPr>
                <w:rFonts w:asciiTheme="minorHAnsi" w:hAnsiTheme="minorHAnsi" w:cstheme="minorHAnsi"/>
                <w:szCs w:val="22"/>
              </w:rPr>
            </w:r>
            <w:r w:rsidRPr="004D0F3B">
              <w:rPr>
                <w:rFonts w:asciiTheme="minorHAnsi" w:hAnsiTheme="minorHAnsi" w:cstheme="minorHAnsi"/>
                <w:szCs w:val="22"/>
              </w:rPr>
              <w:fldChar w:fldCharType="separate"/>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noProof/>
                <w:szCs w:val="22"/>
              </w:rPr>
              <w:t> </w:t>
            </w:r>
            <w:r w:rsidRPr="004D0F3B">
              <w:rPr>
                <w:rFonts w:asciiTheme="minorHAnsi" w:hAnsiTheme="minorHAnsi" w:cstheme="minorHAnsi"/>
                <w:szCs w:val="22"/>
              </w:rPr>
              <w:fldChar w:fldCharType="end"/>
            </w:r>
          </w:p>
        </w:tc>
        <w:tc>
          <w:tcPr>
            <w:tcW w:w="236" w:type="dxa"/>
            <w:shd w:val="clear" w:color="auto" w:fill="auto"/>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rPr>
          <w:trHeight w:hRule="exact" w:val="23"/>
        </w:trPr>
        <w:tc>
          <w:tcPr>
            <w:tcW w:w="1942"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512"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rsidR="004D0F3B" w:rsidRPr="004D0F3B" w:rsidRDefault="004D0F3B" w:rsidP="00B61967">
            <w:pPr>
              <w:pStyle w:val="StandardBlock"/>
              <w:spacing w:before="0" w:after="0"/>
              <w:ind w:left="-113"/>
              <w:jc w:val="left"/>
              <w:rPr>
                <w:rFonts w:asciiTheme="minorHAnsi" w:hAnsiTheme="minorHAnsi" w:cstheme="minorHAnsi"/>
                <w:szCs w:val="22"/>
              </w:rPr>
            </w:pPr>
          </w:p>
        </w:tc>
      </w:tr>
      <w:tr w:rsidR="004D0F3B" w:rsidRPr="004D0F3B" w:rsidTr="00B61967">
        <w:tc>
          <w:tcPr>
            <w:tcW w:w="1942"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Name</w:t>
            </w:r>
          </w:p>
        </w:tc>
        <w:tc>
          <w:tcPr>
            <w:tcW w:w="236"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225"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Signature</w:t>
            </w:r>
          </w:p>
        </w:tc>
        <w:tc>
          <w:tcPr>
            <w:tcW w:w="512"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Name</w:t>
            </w:r>
          </w:p>
        </w:tc>
        <w:tc>
          <w:tcPr>
            <w:tcW w:w="236" w:type="dxa"/>
            <w:shd w:val="clear" w:color="auto" w:fill="auto"/>
          </w:tcPr>
          <w:p w:rsidR="004D0F3B" w:rsidRPr="004D0F3B" w:rsidRDefault="004D0F3B" w:rsidP="00B61967">
            <w:pPr>
              <w:pStyle w:val="StandardBlock"/>
              <w:spacing w:before="0" w:after="0"/>
              <w:ind w:left="-113"/>
              <w:jc w:val="left"/>
              <w:rPr>
                <w:rFonts w:asciiTheme="minorHAnsi" w:hAnsiTheme="minorHAnsi" w:cstheme="minorHAnsi"/>
                <w:sz w:val="18"/>
                <w:szCs w:val="18"/>
              </w:rPr>
            </w:pPr>
          </w:p>
        </w:tc>
        <w:tc>
          <w:tcPr>
            <w:tcW w:w="2583" w:type="dxa"/>
          </w:tcPr>
          <w:p w:rsidR="004D0F3B" w:rsidRPr="004D0F3B" w:rsidRDefault="004D0F3B" w:rsidP="00B61967">
            <w:pPr>
              <w:pStyle w:val="StandardBlock"/>
              <w:spacing w:before="0" w:after="0"/>
              <w:ind w:left="-113"/>
              <w:jc w:val="left"/>
              <w:rPr>
                <w:rFonts w:asciiTheme="minorHAnsi" w:hAnsiTheme="minorHAnsi" w:cstheme="minorHAnsi"/>
                <w:sz w:val="18"/>
                <w:szCs w:val="18"/>
              </w:rPr>
            </w:pPr>
            <w:r w:rsidRPr="004D0F3B">
              <w:rPr>
                <w:rFonts w:asciiTheme="minorHAnsi" w:hAnsiTheme="minorHAnsi" w:cstheme="minorHAnsi"/>
                <w:sz w:val="18"/>
                <w:szCs w:val="18"/>
              </w:rPr>
              <w:t>Signature, Quality</w:t>
            </w:r>
          </w:p>
        </w:tc>
      </w:tr>
    </w:tbl>
    <w:p w:rsidR="004D0F3B" w:rsidRPr="004D0F3B" w:rsidRDefault="004D0F3B" w:rsidP="004D0F3B">
      <w:pPr>
        <w:pStyle w:val="Vorgabetext"/>
        <w:tabs>
          <w:tab w:val="left" w:pos="5103"/>
          <w:tab w:val="left" w:pos="5387"/>
          <w:tab w:val="left" w:pos="7088"/>
        </w:tabs>
        <w:spacing w:line="288" w:lineRule="auto"/>
        <w:ind w:left="0"/>
        <w:jc w:val="left"/>
        <w:rPr>
          <w:rFonts w:asciiTheme="minorHAnsi" w:hAnsiTheme="minorHAnsi" w:cstheme="minorHAnsi"/>
          <w:sz w:val="2"/>
          <w:szCs w:val="2"/>
        </w:rPr>
      </w:pPr>
    </w:p>
    <w:p w:rsidR="004D0F3B" w:rsidRPr="004D0F3B" w:rsidRDefault="004D0F3B" w:rsidP="004D0F3B">
      <w:pPr>
        <w:pStyle w:val="StandardBlock"/>
        <w:rPr>
          <w:rFonts w:asciiTheme="minorHAnsi" w:hAnsiTheme="minorHAnsi" w:cstheme="minorHAnsi"/>
        </w:rPr>
      </w:pPr>
    </w:p>
    <w:p w:rsidR="0061528E" w:rsidRPr="004D0F3B" w:rsidRDefault="0061528E" w:rsidP="004D0F3B">
      <w:pPr>
        <w:rPr>
          <w:rFonts w:cstheme="minorHAnsi"/>
        </w:rPr>
      </w:pPr>
      <w:bookmarkStart w:id="139" w:name="_GoBack"/>
      <w:bookmarkEnd w:id="139"/>
    </w:p>
    <w:sectPr w:rsidR="0061528E" w:rsidRPr="004D0F3B"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71" w:rsidRDefault="00004571" w:rsidP="00D661C2">
      <w:pPr>
        <w:spacing w:after="120"/>
      </w:pPr>
      <w:r>
        <w:separator/>
      </w:r>
    </w:p>
    <w:p w:rsidR="00004571" w:rsidRDefault="00004571" w:rsidP="00D661C2">
      <w:pPr>
        <w:spacing w:after="120"/>
      </w:pPr>
    </w:p>
  </w:endnote>
  <w:endnote w:type="continuationSeparator" w:id="0">
    <w:p w:rsidR="00004571" w:rsidRDefault="00004571" w:rsidP="00D661C2">
      <w:pPr>
        <w:spacing w:after="120"/>
      </w:pPr>
      <w:r>
        <w:continuationSeparator/>
      </w:r>
    </w:p>
    <w:p w:rsidR="00004571" w:rsidRDefault="00004571" w:rsidP="00D661C2">
      <w:pPr>
        <w:spacing w:after="120"/>
      </w:pPr>
    </w:p>
    <w:p w:rsidR="00004571" w:rsidRDefault="00004571"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0C7686" w:rsidRDefault="00656B88">
    <w:pPr>
      <w:pStyle w:val="Fuzeile"/>
      <w:spacing w:after="120"/>
      <w:rPr>
        <w:sz w:val="19"/>
        <w:szCs w:val="19"/>
        <w:lang w:val="en-US"/>
      </w:rPr>
    </w:pPr>
    <w:r w:rsidRPr="000C7686">
      <w:rPr>
        <w:sz w:val="19"/>
        <w:szCs w:val="19"/>
        <w:lang w:val="en-US"/>
      </w:rPr>
      <w:t>Quality Assurance Agreement with Software Suppliers</w:t>
    </w:r>
    <w:r w:rsidRPr="000C7686">
      <w:rPr>
        <w:sz w:val="19"/>
        <w:szCs w:val="19"/>
        <w:lang w:val="en-US"/>
      </w:rPr>
      <w:tab/>
      <w:t>Issue: 2013-10-10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0C7686" w:rsidRDefault="00656B88" w:rsidP="00656B88">
    <w:pPr>
      <w:pStyle w:val="Fuzeile"/>
      <w:spacing w:after="120"/>
      <w:rPr>
        <w:sz w:val="19"/>
        <w:szCs w:val="19"/>
        <w:lang w:val="en-US"/>
      </w:rPr>
    </w:pPr>
    <w:r w:rsidRPr="000C7686">
      <w:rPr>
        <w:sz w:val="19"/>
        <w:szCs w:val="19"/>
        <w:lang w:val="en-US"/>
      </w:rPr>
      <w:t>Quality Assurance Agreement with Software Suppliers</w:t>
    </w:r>
    <w:r w:rsidRPr="000C7686">
      <w:rPr>
        <w:sz w:val="19"/>
        <w:szCs w:val="19"/>
        <w:lang w:val="en-US"/>
      </w:rPr>
      <w:tab/>
      <w:t>Issue: 2013-10-10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71" w:rsidRDefault="00004571" w:rsidP="00D661C2">
      <w:pPr>
        <w:spacing w:after="120"/>
      </w:pPr>
      <w:r>
        <w:separator/>
      </w:r>
    </w:p>
    <w:p w:rsidR="00004571" w:rsidRDefault="00004571" w:rsidP="00D661C2">
      <w:pPr>
        <w:spacing w:after="120"/>
      </w:pPr>
    </w:p>
  </w:footnote>
  <w:footnote w:type="continuationSeparator" w:id="0">
    <w:p w:rsidR="00004571" w:rsidRDefault="00004571" w:rsidP="00D661C2">
      <w:pPr>
        <w:spacing w:after="120"/>
      </w:pPr>
      <w:r>
        <w:continuationSeparator/>
      </w:r>
    </w:p>
    <w:p w:rsidR="00004571" w:rsidRDefault="00004571" w:rsidP="00D661C2">
      <w:pPr>
        <w:spacing w:after="120"/>
      </w:pPr>
    </w:p>
  </w:footnote>
  <w:footnote w:id="1">
    <w:p w:rsidR="004D0F3B" w:rsidRDefault="004D0F3B" w:rsidP="004D0F3B">
      <w:pPr>
        <w:pStyle w:val="Funotentext"/>
      </w:pPr>
      <w:r>
        <w:rPr>
          <w:rStyle w:val="Funotenzeichen"/>
        </w:rPr>
        <w:footnoteRef/>
      </w:r>
      <w:r>
        <w:t xml:space="preserve"> Version V2.5 dated 2010-05-10</w:t>
      </w:r>
    </w:p>
  </w:footnote>
  <w:footnote w:id="2">
    <w:p w:rsidR="004D0F3B" w:rsidRDefault="004D0F3B" w:rsidP="004D0F3B">
      <w:pPr>
        <w:pStyle w:val="Funotentext"/>
      </w:pPr>
      <w:r>
        <w:rPr>
          <w:rStyle w:val="Funotenzeichen"/>
        </w:rPr>
        <w:footnoteRef/>
      </w:r>
      <w:r>
        <w:t xml:space="preserve"> First edition, 2006-03-01</w:t>
      </w:r>
    </w:p>
  </w:footnote>
  <w:footnote w:id="3">
    <w:p w:rsidR="004D0F3B" w:rsidRDefault="004D0F3B" w:rsidP="004D0F3B">
      <w:pPr>
        <w:pStyle w:val="Funotentext"/>
      </w:pPr>
      <w:r>
        <w:rPr>
          <w:rStyle w:val="Funotenzeichen"/>
        </w:rPr>
        <w:footnoteRef/>
      </w:r>
      <w:r>
        <w:t xml:space="preserve"> only relevant if subcontractors are used</w:t>
      </w:r>
    </w:p>
    <w:p w:rsidR="004D0F3B" w:rsidRDefault="004D0F3B" w:rsidP="004D0F3B">
      <w:pPr>
        <w:pStyle w:val="Funotentext"/>
      </w:pPr>
      <w:r>
        <w:t>* only relevant if the software is being developed as a constituent part of a system / a component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40" w:name="mioPage1"/>
          <w:proofErr w:type="spellStart"/>
          <w:r>
            <w:t>Seite</w:t>
          </w:r>
          <w:bookmarkEnd w:id="140"/>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141" w:name="mioPageOf"/>
          <w:r>
            <w:t>von</w:t>
          </w:r>
          <w:bookmarkEnd w:id="141"/>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656B88">
    <w:pPr>
      <w:pStyle w:val="Kopfzeile"/>
      <w:spacing w:before="240" w:after="6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2" w:name="_Hlk525026156"/>
  <w:bookmarkStart w:id="143" w:name="_Hlk525026157"/>
  <w:bookmarkStart w:id="144" w:name="_Hlk525026301"/>
  <w:bookmarkStart w:id="145" w:name="_Hlk525026302"/>
  <w:bookmarkStart w:id="146" w:name="_Hlk525026309"/>
  <w:bookmarkStart w:id="147" w:name="_Hlk525026310"/>
  <w:bookmarkStart w:id="148" w:name="_Hlk525026395"/>
  <w:bookmarkStart w:id="149" w:name="_Hlk525026396"/>
  <w:bookmarkStart w:id="150" w:name="_Hlk525026462"/>
  <w:bookmarkStart w:id="151" w:name="_Hlk525026463"/>
  <w:bookmarkStart w:id="152" w:name="_Hlk525026492"/>
  <w:bookmarkStart w:id="153" w:name="_Hlk525026493"/>
  <w:bookmarkStart w:id="154" w:name="_Hlk525026714"/>
  <w:bookmarkStart w:id="155" w:name="_Hlk525026715"/>
  <w:bookmarkStart w:id="156" w:name="_Hlk525026792"/>
  <w:bookmarkStart w:id="157" w:name="_Hlk525026793"/>
  <w:p w:rsidR="00173884" w:rsidRPr="004D0F3B" w:rsidRDefault="00437E62" w:rsidP="00656B88">
    <w:pPr>
      <w:pStyle w:val="Kopfzeile"/>
      <w:spacing w:before="240" w:after="60"/>
      <w:rPr>
        <w:rFonts w:cstheme="minorHAnsi"/>
      </w:rPr>
    </w:pPr>
    <w:r w:rsidRPr="004D0F3B">
      <w:rPr>
        <w:rFonts w:cstheme="minorHAnsi"/>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39AA7"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8"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9886D51"/>
    <w:multiLevelType w:val="hybridMultilevel"/>
    <w:tmpl w:val="3BC0B93E"/>
    <w:lvl w:ilvl="0" w:tplc="EC66903A">
      <w:start w:val="1"/>
      <w:numFmt w:val="bullet"/>
      <w:pStyle w:val="AufzhlungmitPunkt"/>
      <w:lvlText w:val=""/>
      <w:lvlJc w:val="left"/>
      <w:pPr>
        <w:tabs>
          <w:tab w:val="num" w:pos="357"/>
        </w:tabs>
        <w:ind w:left="0" w:firstLine="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F308D4"/>
    <w:multiLevelType w:val="multilevel"/>
    <w:tmpl w:val="FDFA02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5D411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540"/>
        </w:tabs>
        <w:ind w:left="18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7"/>
  </w:num>
  <w:num w:numId="12">
    <w:abstractNumId w:val="7"/>
  </w:num>
  <w:num w:numId="13">
    <w:abstractNumId w:val="7"/>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7"/>
  </w:num>
  <w:num w:numId="32">
    <w:abstractNumId w:val="7"/>
  </w:num>
  <w:num w:numId="33">
    <w:abstractNumId w:val="7"/>
  </w:num>
  <w:num w:numId="34">
    <w:abstractNumId w:val="8"/>
  </w:num>
  <w:num w:numId="35">
    <w:abstractNumId w:val="8"/>
  </w:num>
  <w:num w:numId="36">
    <w:abstractNumId w:val="8"/>
  </w:num>
  <w:num w:numId="37">
    <w:abstractNumId w:val="11"/>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ocumentProtection w:edit="forms" w:enforcement="1" w:cryptProviderType="rsaAES" w:cryptAlgorithmClass="hash" w:cryptAlgorithmType="typeAny" w:cryptAlgorithmSid="14" w:cryptSpinCount="100000" w:hash="5VvfzeAGlEwI2s6nhGU41VbkjldPtiaVaX2s/vYQzkasNA/k8/4x2udyjPkkPl52fu7mJYcPwVLFQ0Z0uQsxZA==" w:salt="7+032qGGkklOqdDD6yJvYQ=="/>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571"/>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C7686"/>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A72DB"/>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238"/>
    <w:rsid w:val="004939FE"/>
    <w:rsid w:val="004A1055"/>
    <w:rsid w:val="004A2245"/>
    <w:rsid w:val="004A23CE"/>
    <w:rsid w:val="004B35A2"/>
    <w:rsid w:val="004B5111"/>
    <w:rsid w:val="004B5A94"/>
    <w:rsid w:val="004B7518"/>
    <w:rsid w:val="004D0F3B"/>
    <w:rsid w:val="004D3D0C"/>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6B88"/>
    <w:rsid w:val="006575A3"/>
    <w:rsid w:val="006614B8"/>
    <w:rsid w:val="006620E1"/>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0B0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4D0F3B"/>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eastAsia="en-GB" w:bidi="en-GB"/>
    </w:rPr>
  </w:style>
  <w:style w:type="paragraph" w:customStyle="1" w:styleId="StandardZentriert">
    <w:name w:val="Standard + Zentriert"/>
    <w:basedOn w:val="Standard"/>
    <w:next w:val="Standard"/>
    <w:rsid w:val="004D0F3B"/>
    <w:pPr>
      <w:tabs>
        <w:tab w:val="left" w:pos="2552"/>
        <w:tab w:val="left" w:pos="4536"/>
        <w:tab w:val="left" w:pos="6804"/>
      </w:tabs>
      <w:spacing w:line="240" w:lineRule="auto"/>
      <w:jc w:val="center"/>
    </w:pPr>
    <w:rPr>
      <w:rFonts w:ascii="Arial" w:eastAsia="Times New Roman" w:hAnsi="Arial" w:cs="Times New Roman"/>
      <w:color w:val="auto"/>
      <w:sz w:val="22"/>
      <w:szCs w:val="20"/>
      <w:lang w:eastAsia="en-GB" w:bidi="en-GB"/>
    </w:rPr>
  </w:style>
  <w:style w:type="character" w:customStyle="1" w:styleId="StandardBlockZchn">
    <w:name w:val="Standard Block Zchn"/>
    <w:link w:val="StandardBlock"/>
    <w:rsid w:val="004D0F3B"/>
    <w:rPr>
      <w:rFonts w:ascii="Arial" w:eastAsia="Times New Roman" w:hAnsi="Arial" w:cs="Times New Roman"/>
      <w:szCs w:val="20"/>
      <w:lang w:val="en-GB" w:eastAsia="en-GB" w:bidi="en-GB"/>
    </w:rPr>
  </w:style>
  <w:style w:type="paragraph" w:styleId="Verzeichnis1">
    <w:name w:val="toc 1"/>
    <w:basedOn w:val="Standard"/>
    <w:next w:val="Standard"/>
    <w:autoRedefine/>
    <w:uiPriority w:val="39"/>
    <w:rsid w:val="004D0F3B"/>
    <w:pPr>
      <w:tabs>
        <w:tab w:val="left" w:pos="709"/>
        <w:tab w:val="right" w:pos="9923"/>
        <w:tab w:val="right" w:leader="dot" w:pos="10195"/>
      </w:tabs>
      <w:spacing w:before="240" w:after="120" w:line="240" w:lineRule="auto"/>
    </w:pPr>
    <w:rPr>
      <w:rFonts w:ascii="Arial" w:eastAsia="Times New Roman" w:hAnsi="Arial" w:cs="Times New Roman"/>
      <w:b/>
      <w:noProof/>
      <w:color w:val="auto"/>
      <w:sz w:val="22"/>
      <w:szCs w:val="24"/>
      <w:lang w:eastAsia="en-GB" w:bidi="en-GB"/>
    </w:rPr>
  </w:style>
  <w:style w:type="paragraph" w:styleId="Verzeichnis2">
    <w:name w:val="toc 2"/>
    <w:basedOn w:val="Standard"/>
    <w:next w:val="Standard"/>
    <w:autoRedefine/>
    <w:uiPriority w:val="39"/>
    <w:rsid w:val="004D0F3B"/>
    <w:pPr>
      <w:tabs>
        <w:tab w:val="left" w:pos="720"/>
        <w:tab w:val="right" w:leader="dot" w:pos="9911"/>
      </w:tabs>
      <w:spacing w:after="60" w:line="240" w:lineRule="auto"/>
      <w:ind w:left="709" w:hanging="709"/>
    </w:pPr>
    <w:rPr>
      <w:rFonts w:ascii="Arial" w:eastAsia="Times New Roman" w:hAnsi="Arial" w:cs="Times New Roman"/>
      <w:noProof/>
      <w:color w:val="auto"/>
      <w:sz w:val="22"/>
      <w:szCs w:val="20"/>
      <w:lang w:eastAsia="en-GB" w:bidi="en-GB"/>
    </w:rPr>
  </w:style>
  <w:style w:type="paragraph" w:customStyle="1" w:styleId="AufzhlungmitPunkt">
    <w:name w:val="Aufzählung mit Punkt"/>
    <w:basedOn w:val="StandardBlock"/>
    <w:rsid w:val="004D0F3B"/>
    <w:pPr>
      <w:numPr>
        <w:numId w:val="39"/>
      </w:numPr>
      <w:spacing w:before="40" w:after="0"/>
    </w:pPr>
    <w:rPr>
      <w:color w:val="000000"/>
      <w:szCs w:val="22"/>
    </w:rPr>
  </w:style>
  <w:style w:type="paragraph" w:customStyle="1" w:styleId="Vorgabetext">
    <w:name w:val="Vorgabetext"/>
    <w:basedOn w:val="Standard"/>
    <w:rsid w:val="004D0F3B"/>
    <w:pPr>
      <w:spacing w:line="240" w:lineRule="auto"/>
      <w:ind w:left="340"/>
      <w:jc w:val="both"/>
    </w:pPr>
    <w:rPr>
      <w:rFonts w:ascii="Arial" w:eastAsia="Times New Roman" w:hAnsi="Arial" w:cs="Times New Roman"/>
      <w:color w:val="auto"/>
      <w:sz w:val="22"/>
      <w:szCs w:val="20"/>
      <w:lang w:eastAsia="en-GB" w:bidi="en-GB"/>
    </w:rPr>
  </w:style>
  <w:style w:type="paragraph" w:styleId="Funotentext">
    <w:name w:val="footnote text"/>
    <w:basedOn w:val="Standard"/>
    <w:link w:val="FunotentextZchn"/>
    <w:rsid w:val="004D0F3B"/>
    <w:pPr>
      <w:tabs>
        <w:tab w:val="left" w:pos="2552"/>
        <w:tab w:val="left" w:pos="4536"/>
        <w:tab w:val="left" w:pos="6804"/>
      </w:tabs>
      <w:spacing w:line="240" w:lineRule="auto"/>
    </w:pPr>
    <w:rPr>
      <w:rFonts w:ascii="Arial" w:eastAsia="Times New Roman" w:hAnsi="Arial" w:cs="Times New Roman"/>
      <w:color w:val="auto"/>
      <w:sz w:val="20"/>
      <w:szCs w:val="20"/>
      <w:lang w:eastAsia="en-GB" w:bidi="en-GB"/>
    </w:rPr>
  </w:style>
  <w:style w:type="character" w:customStyle="1" w:styleId="FunotentextZchn">
    <w:name w:val="Fußnotentext Zchn"/>
    <w:basedOn w:val="Absatz-Standardschriftart"/>
    <w:link w:val="Funotentext"/>
    <w:rsid w:val="004D0F3B"/>
    <w:rPr>
      <w:rFonts w:ascii="Arial" w:eastAsia="Times New Roman" w:hAnsi="Arial" w:cs="Times New Roman"/>
      <w:sz w:val="20"/>
      <w:szCs w:val="20"/>
      <w:lang w:val="en-GB" w:eastAsia="en-GB" w:bidi="en-GB"/>
    </w:rPr>
  </w:style>
  <w:style w:type="character" w:styleId="Funotenzeichen">
    <w:name w:val="footnote reference"/>
    <w:rsid w:val="004D0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E201-3411-4723-B1DD-01DB81B7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8632</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7</cp:revision>
  <cp:lastPrinted>2018-08-01T09:09:00Z</cp:lastPrinted>
  <dcterms:created xsi:type="dcterms:W3CDTF">2020-10-28T14:51:00Z</dcterms:created>
  <dcterms:modified xsi:type="dcterms:W3CDTF">2020-10-30T14:14:00Z</dcterms:modified>
</cp:coreProperties>
</file>